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1" w:rsidRPr="002F4664" w:rsidRDefault="00642F99" w:rsidP="002F4664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2F4664">
        <w:rPr>
          <w:b/>
          <w:sz w:val="36"/>
          <w:szCs w:val="24"/>
          <w:u w:val="single"/>
        </w:rPr>
        <w:t xml:space="preserve">Atelier </w:t>
      </w:r>
      <w:r w:rsidR="00075EDF">
        <w:rPr>
          <w:b/>
          <w:sz w:val="36"/>
          <w:szCs w:val="24"/>
          <w:u w:val="single"/>
        </w:rPr>
        <w:t>n.</w:t>
      </w:r>
      <w:r w:rsidR="00075EDF" w:rsidRPr="002F4664">
        <w:rPr>
          <w:b/>
          <w:sz w:val="36"/>
          <w:szCs w:val="24"/>
          <w:u w:val="single"/>
        </w:rPr>
        <w:t>1</w:t>
      </w:r>
      <w:r w:rsidR="00075EDF">
        <w:rPr>
          <w:b/>
          <w:sz w:val="36"/>
          <w:szCs w:val="24"/>
          <w:u w:val="single"/>
        </w:rPr>
        <w:t xml:space="preserve"> : </w:t>
      </w:r>
      <w:r w:rsidR="00C05378">
        <w:rPr>
          <w:b/>
          <w:sz w:val="36"/>
          <w:szCs w:val="24"/>
          <w:u w:val="single"/>
        </w:rPr>
        <w:t>« </w:t>
      </w:r>
      <w:r w:rsidR="00075EDF">
        <w:rPr>
          <w:b/>
          <w:sz w:val="36"/>
          <w:szCs w:val="24"/>
          <w:u w:val="single"/>
        </w:rPr>
        <w:t>Etre bien avec son prochain</w:t>
      </w:r>
      <w:r w:rsidR="00C05378">
        <w:rPr>
          <w:b/>
          <w:sz w:val="36"/>
          <w:szCs w:val="24"/>
          <w:u w:val="single"/>
        </w:rPr>
        <w:t xml:space="preserve"> » </w:t>
      </w:r>
    </w:p>
    <w:p w:rsidR="003954E1" w:rsidRDefault="003954E1" w:rsidP="003954E1">
      <w:pPr>
        <w:spacing w:after="0" w:line="240" w:lineRule="auto"/>
      </w:pPr>
    </w:p>
    <w:p w:rsidR="003954E1" w:rsidRDefault="00F7228D" w:rsidP="003954E1">
      <w:pPr>
        <w:rPr>
          <w:b/>
          <w:sz w:val="24"/>
          <w:szCs w:val="24"/>
        </w:rPr>
      </w:pPr>
      <w:r w:rsidRPr="00C05378">
        <w:rPr>
          <w:b/>
          <w:sz w:val="24"/>
          <w:szCs w:val="24"/>
          <w:u w:val="single"/>
        </w:rPr>
        <w:t>Objectif</w:t>
      </w:r>
      <w:r w:rsidR="003954E1" w:rsidRPr="00642F99">
        <w:rPr>
          <w:b/>
          <w:sz w:val="24"/>
          <w:szCs w:val="24"/>
        </w:rPr>
        <w:t xml:space="preserve"> : Afin de mieux comprendre ce qu’est une relation en vérité, </w:t>
      </w:r>
      <w:r w:rsidR="00642F99" w:rsidRPr="00642F99">
        <w:rPr>
          <w:b/>
          <w:sz w:val="24"/>
          <w:szCs w:val="24"/>
        </w:rPr>
        <w:t>se</w:t>
      </w:r>
      <w:r w:rsidR="003954E1" w:rsidRPr="00642F99">
        <w:rPr>
          <w:b/>
          <w:sz w:val="24"/>
          <w:szCs w:val="24"/>
        </w:rPr>
        <w:t xml:space="preserve"> confronter à différentes situati</w:t>
      </w:r>
      <w:r w:rsidR="002F4664">
        <w:rPr>
          <w:b/>
          <w:sz w:val="24"/>
          <w:szCs w:val="24"/>
        </w:rPr>
        <w:t>ons et tenter de les décrypter.</w:t>
      </w:r>
    </w:p>
    <w:p w:rsidR="002F4664" w:rsidRPr="00642F99" w:rsidRDefault="002F4664" w:rsidP="00395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Commencer par chanter le refrain </w:t>
      </w:r>
      <w:r w:rsidR="00C05378">
        <w:rPr>
          <w:b/>
          <w:sz w:val="24"/>
          <w:szCs w:val="24"/>
        </w:rPr>
        <w:t xml:space="preserve">du chant « Tous ensemble » </w:t>
      </w:r>
      <w:r>
        <w:rPr>
          <w:b/>
          <w:sz w:val="24"/>
          <w:szCs w:val="24"/>
        </w:rPr>
        <w:t>et le couplet 1</w:t>
      </w:r>
      <w:r w:rsidR="00C05378">
        <w:rPr>
          <w:b/>
          <w:sz w:val="24"/>
          <w:szCs w:val="24"/>
        </w:rPr>
        <w:t xml:space="preserve"> (voir Annexe)</w:t>
      </w:r>
    </w:p>
    <w:tbl>
      <w:tblPr>
        <w:tblStyle w:val="Grilledutableau"/>
        <w:tblW w:w="0" w:type="auto"/>
        <w:tblLook w:val="04A0"/>
      </w:tblPr>
      <w:tblGrid>
        <w:gridCol w:w="2093"/>
        <w:gridCol w:w="6662"/>
        <w:gridCol w:w="1851"/>
      </w:tblGrid>
      <w:tr w:rsidR="003954E1" w:rsidRPr="005655EA" w:rsidTr="00C05378">
        <w:tc>
          <w:tcPr>
            <w:tcW w:w="2093" w:type="dxa"/>
          </w:tcPr>
          <w:p w:rsidR="003954E1" w:rsidRDefault="003954E1" w:rsidP="007D20B6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 xml:space="preserve">Intitulé </w:t>
            </w:r>
            <w:r>
              <w:rPr>
                <w:b/>
                <w:sz w:val="28"/>
              </w:rPr>
              <w:t>–</w:t>
            </w:r>
            <w:r w:rsidRPr="005655EA">
              <w:rPr>
                <w:b/>
                <w:sz w:val="28"/>
              </w:rPr>
              <w:t xml:space="preserve"> durée</w:t>
            </w:r>
          </w:p>
          <w:p w:rsidR="003954E1" w:rsidRPr="005655EA" w:rsidRDefault="003954E1" w:rsidP="007D20B6">
            <w:pPr>
              <w:jc w:val="center"/>
              <w:rPr>
                <w:b/>
                <w:sz w:val="28"/>
              </w:rPr>
            </w:pPr>
          </w:p>
        </w:tc>
        <w:tc>
          <w:tcPr>
            <w:tcW w:w="6662" w:type="dxa"/>
          </w:tcPr>
          <w:p w:rsidR="003954E1" w:rsidRPr="005655EA" w:rsidRDefault="003954E1" w:rsidP="003954E1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>Déroulement</w:t>
            </w:r>
            <w:r>
              <w:rPr>
                <w:b/>
                <w:sz w:val="28"/>
              </w:rPr>
              <w:t xml:space="preserve"> atelier </w:t>
            </w:r>
            <w:r w:rsidR="00C05378">
              <w:rPr>
                <w:b/>
                <w:sz w:val="28"/>
              </w:rPr>
              <w:t>n.</w:t>
            </w:r>
            <w:r>
              <w:rPr>
                <w:b/>
                <w:sz w:val="28"/>
              </w:rPr>
              <w:t>1 : </w:t>
            </w:r>
          </w:p>
        </w:tc>
        <w:tc>
          <w:tcPr>
            <w:tcW w:w="1851" w:type="dxa"/>
          </w:tcPr>
          <w:p w:rsidR="003954E1" w:rsidRPr="005655EA" w:rsidRDefault="003954E1" w:rsidP="007D20B6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>Matériel</w:t>
            </w:r>
          </w:p>
        </w:tc>
      </w:tr>
      <w:tr w:rsidR="003954E1" w:rsidTr="00C05378">
        <w:tc>
          <w:tcPr>
            <w:tcW w:w="2093" w:type="dxa"/>
          </w:tcPr>
          <w:p w:rsidR="003954E1" w:rsidRPr="00642F99" w:rsidRDefault="003954E1" w:rsidP="007D20B6">
            <w:pPr>
              <w:jc w:val="both"/>
              <w:rPr>
                <w:b/>
              </w:rPr>
            </w:pPr>
            <w:r w:rsidRPr="00642F99">
              <w:rPr>
                <w:b/>
              </w:rPr>
              <w:t>Préparation</w:t>
            </w:r>
          </w:p>
          <w:p w:rsidR="003954E1" w:rsidRPr="00285B5C" w:rsidRDefault="003954E1" w:rsidP="007D20B6">
            <w:pPr>
              <w:jc w:val="both"/>
              <w:rPr>
                <w:b/>
              </w:rPr>
            </w:pPr>
            <w:r w:rsidRPr="00285B5C">
              <w:rPr>
                <w:b/>
              </w:rPr>
              <w:t>30 min</w:t>
            </w:r>
          </w:p>
        </w:tc>
        <w:tc>
          <w:tcPr>
            <w:tcW w:w="6662" w:type="dxa"/>
          </w:tcPr>
          <w:p w:rsidR="003954E1" w:rsidRDefault="003954E1" w:rsidP="007D20B6">
            <w:pPr>
              <w:pStyle w:val="Paragraphedeliste"/>
              <w:jc w:val="both"/>
            </w:pPr>
            <w:r>
              <w:t xml:space="preserve"> </w:t>
            </w:r>
          </w:p>
        </w:tc>
        <w:tc>
          <w:tcPr>
            <w:tcW w:w="1851" w:type="dxa"/>
          </w:tcPr>
          <w:p w:rsidR="00761426" w:rsidRDefault="003954E1" w:rsidP="00C05378">
            <w:r>
              <w:t xml:space="preserve">Imprimer </w:t>
            </w:r>
            <w:r w:rsidR="00C05378">
              <w:t>(</w:t>
            </w:r>
            <w:r>
              <w:t>et éventuellement plastifier</w:t>
            </w:r>
            <w:r w:rsidR="00C05378">
              <w:t>)</w:t>
            </w:r>
            <w:r>
              <w:t xml:space="preserve"> le</w:t>
            </w:r>
            <w:r w:rsidR="00761426">
              <w:t xml:space="preserve"> document « S</w:t>
            </w:r>
            <w:r>
              <w:t>aynètes</w:t>
            </w:r>
            <w:r w:rsidR="00761426">
              <w:t> »</w:t>
            </w:r>
            <w:r>
              <w:t>.</w:t>
            </w:r>
          </w:p>
        </w:tc>
      </w:tr>
      <w:tr w:rsidR="003954E1" w:rsidTr="00C05378">
        <w:tc>
          <w:tcPr>
            <w:tcW w:w="2093" w:type="dxa"/>
          </w:tcPr>
          <w:p w:rsidR="003954E1" w:rsidRPr="00642F99" w:rsidRDefault="003954E1" w:rsidP="007D20B6">
            <w:pPr>
              <w:jc w:val="both"/>
              <w:rPr>
                <w:b/>
              </w:rPr>
            </w:pPr>
            <w:r w:rsidRPr="00642F99">
              <w:rPr>
                <w:b/>
              </w:rPr>
              <w:t>Introduction</w:t>
            </w:r>
          </w:p>
          <w:p w:rsidR="003954E1" w:rsidRPr="00285B5C" w:rsidRDefault="003954E1" w:rsidP="007D20B6">
            <w:pPr>
              <w:jc w:val="both"/>
              <w:rPr>
                <w:b/>
              </w:rPr>
            </w:pPr>
            <w:r w:rsidRPr="00285B5C">
              <w:rPr>
                <w:b/>
              </w:rPr>
              <w:t>5 min</w:t>
            </w:r>
          </w:p>
        </w:tc>
        <w:tc>
          <w:tcPr>
            <w:tcW w:w="6662" w:type="dxa"/>
          </w:tcPr>
          <w:p w:rsidR="003954E1" w:rsidRDefault="003954E1" w:rsidP="00C96972">
            <w:pPr>
              <w:jc w:val="both"/>
            </w:pPr>
            <w:r>
              <w:t>L’animateur : « Nos relations avec les autres remplissent une grosse partie de nos journées, mais nous nous rendons bien compte que certaines relations nous font du bien, nous rendent joyeux, et d</w:t>
            </w:r>
            <w:r w:rsidR="00C96972">
              <w:t>’autres non. Nous allons faire 1</w:t>
            </w:r>
            <w:r>
              <w:t xml:space="preserve"> activité qui nous permettr</w:t>
            </w:r>
            <w:r w:rsidR="00C96972">
              <w:t>a</w:t>
            </w:r>
            <w:r>
              <w:t xml:space="preserve"> de mettre un nom sur les types de relation qui peuvent exister, et nous </w:t>
            </w:r>
            <w:r w:rsidR="00642F99">
              <w:t>trouv</w:t>
            </w:r>
            <w:r>
              <w:t>erons des clés pour les éviter.</w:t>
            </w:r>
            <w:r w:rsidR="00642F99">
              <w:t> »</w:t>
            </w:r>
          </w:p>
        </w:tc>
        <w:tc>
          <w:tcPr>
            <w:tcW w:w="1851" w:type="dxa"/>
          </w:tcPr>
          <w:p w:rsidR="003954E1" w:rsidRDefault="003954E1" w:rsidP="007D20B6">
            <w:pPr>
              <w:jc w:val="both"/>
            </w:pPr>
          </w:p>
        </w:tc>
      </w:tr>
      <w:tr w:rsidR="003954E1" w:rsidTr="00C05378">
        <w:tc>
          <w:tcPr>
            <w:tcW w:w="2093" w:type="dxa"/>
          </w:tcPr>
          <w:p w:rsidR="00C96972" w:rsidRPr="00642F99" w:rsidRDefault="00C96972" w:rsidP="00C96972">
            <w:pPr>
              <w:jc w:val="both"/>
              <w:rPr>
                <w:b/>
              </w:rPr>
            </w:pPr>
            <w:r w:rsidRPr="00642F99">
              <w:rPr>
                <w:b/>
              </w:rPr>
              <w:t xml:space="preserve">Mise en équipe </w:t>
            </w:r>
          </w:p>
          <w:p w:rsidR="003954E1" w:rsidRPr="00285B5C" w:rsidRDefault="00F7228D" w:rsidP="00C9697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96972" w:rsidRPr="00285B5C">
              <w:rPr>
                <w:b/>
              </w:rPr>
              <w:t xml:space="preserve"> min</w:t>
            </w:r>
          </w:p>
        </w:tc>
        <w:tc>
          <w:tcPr>
            <w:tcW w:w="6662" w:type="dxa"/>
          </w:tcPr>
          <w:p w:rsidR="00642F99" w:rsidRDefault="00642F99" w:rsidP="00410B1F">
            <w:pPr>
              <w:jc w:val="both"/>
            </w:pPr>
            <w:r>
              <w:t>Chaque groupe</w:t>
            </w:r>
            <w:r w:rsidR="00C96972">
              <w:t xml:space="preserve"> de 8 ou 10</w:t>
            </w:r>
            <w:r>
              <w:t xml:space="preserve"> reçoit </w:t>
            </w:r>
            <w:r w:rsidR="00410B1F">
              <w:t xml:space="preserve">une page </w:t>
            </w:r>
            <w:r>
              <w:t>support</w:t>
            </w:r>
            <w:r w:rsidR="00410B1F">
              <w:t xml:space="preserve"> (2 images)</w:t>
            </w:r>
          </w:p>
        </w:tc>
        <w:tc>
          <w:tcPr>
            <w:tcW w:w="1851" w:type="dxa"/>
          </w:tcPr>
          <w:p w:rsidR="003954E1" w:rsidRDefault="00642F99" w:rsidP="007D20B6">
            <w:pPr>
              <w:jc w:val="both"/>
            </w:pPr>
            <w:r>
              <w:t>1 support par groupe</w:t>
            </w:r>
          </w:p>
        </w:tc>
      </w:tr>
      <w:tr w:rsidR="003954E1" w:rsidTr="00C05378">
        <w:tc>
          <w:tcPr>
            <w:tcW w:w="2093" w:type="dxa"/>
          </w:tcPr>
          <w:p w:rsidR="003954E1" w:rsidRPr="00642F99" w:rsidRDefault="00642F99" w:rsidP="007D20B6">
            <w:pPr>
              <w:jc w:val="both"/>
              <w:rPr>
                <w:b/>
              </w:rPr>
            </w:pPr>
            <w:r w:rsidRPr="00642F99">
              <w:rPr>
                <w:b/>
              </w:rPr>
              <w:t xml:space="preserve">Consignes </w:t>
            </w:r>
          </w:p>
          <w:p w:rsidR="00642F99" w:rsidRDefault="00642F99" w:rsidP="007D20B6">
            <w:pPr>
              <w:jc w:val="both"/>
            </w:pPr>
            <w:r w:rsidRPr="00642F99">
              <w:rPr>
                <w:b/>
              </w:rPr>
              <w:t>2 mn</w:t>
            </w:r>
          </w:p>
        </w:tc>
        <w:tc>
          <w:tcPr>
            <w:tcW w:w="6662" w:type="dxa"/>
          </w:tcPr>
          <w:p w:rsidR="003954E1" w:rsidRDefault="00642F99" w:rsidP="00642F99">
            <w:pPr>
              <w:jc w:val="both"/>
            </w:pPr>
            <w:r>
              <w:t xml:space="preserve">A partir de l’illustration qui vous a été distribuée, scindez votre groupe en 2 parties, chaque partie représentant une des 2 situations. Les demi groupes choisissent une situation et la mettent en scène. </w:t>
            </w:r>
          </w:p>
        </w:tc>
        <w:tc>
          <w:tcPr>
            <w:tcW w:w="1851" w:type="dxa"/>
          </w:tcPr>
          <w:p w:rsidR="003954E1" w:rsidRDefault="003954E1" w:rsidP="007D20B6">
            <w:pPr>
              <w:jc w:val="both"/>
            </w:pPr>
          </w:p>
        </w:tc>
      </w:tr>
      <w:tr w:rsidR="003954E1" w:rsidTr="00C05378">
        <w:tc>
          <w:tcPr>
            <w:tcW w:w="2093" w:type="dxa"/>
          </w:tcPr>
          <w:p w:rsidR="003954E1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Préparation des mises en scène</w:t>
            </w:r>
          </w:p>
          <w:p w:rsidR="00642F99" w:rsidRPr="00285B5C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10 mn</w:t>
            </w:r>
          </w:p>
        </w:tc>
        <w:tc>
          <w:tcPr>
            <w:tcW w:w="6662" w:type="dxa"/>
          </w:tcPr>
          <w:p w:rsidR="003954E1" w:rsidRPr="00E63752" w:rsidRDefault="003954E1" w:rsidP="007D20B6">
            <w:pPr>
              <w:jc w:val="both"/>
            </w:pPr>
          </w:p>
        </w:tc>
        <w:tc>
          <w:tcPr>
            <w:tcW w:w="1851" w:type="dxa"/>
          </w:tcPr>
          <w:p w:rsidR="003954E1" w:rsidRDefault="003954E1" w:rsidP="007D20B6">
            <w:pPr>
              <w:jc w:val="both"/>
            </w:pPr>
          </w:p>
        </w:tc>
      </w:tr>
      <w:tr w:rsidR="00642F99" w:rsidTr="00C05378">
        <w:tc>
          <w:tcPr>
            <w:tcW w:w="2093" w:type="dxa"/>
          </w:tcPr>
          <w:p w:rsidR="00642F99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Représentation</w:t>
            </w:r>
          </w:p>
          <w:p w:rsidR="00642F99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 xml:space="preserve">et débat </w:t>
            </w:r>
          </w:p>
          <w:p w:rsidR="00642F99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20 mn</w:t>
            </w:r>
          </w:p>
        </w:tc>
        <w:tc>
          <w:tcPr>
            <w:tcW w:w="6662" w:type="dxa"/>
          </w:tcPr>
          <w:p w:rsidR="00642F99" w:rsidRPr="00996021" w:rsidRDefault="00642F99" w:rsidP="007D20B6">
            <w:pPr>
              <w:jc w:val="both"/>
            </w:pPr>
            <w:r w:rsidRPr="00996021">
              <w:t>Un groupe présente sa mise en scène, s’en suit une di</w:t>
            </w:r>
            <w:r w:rsidR="003E0D31" w:rsidRPr="00996021">
              <w:t>s</w:t>
            </w:r>
            <w:r w:rsidRPr="00996021">
              <w:t xml:space="preserve">cussion : quelle est la situation qui fait du mal ? </w:t>
            </w:r>
            <w:r w:rsidR="00E12DC3" w:rsidRPr="00996021">
              <w:t xml:space="preserve">et celle qui fait du bien ? </w:t>
            </w:r>
            <w:r w:rsidRPr="00996021">
              <w:t xml:space="preserve">pour quelles raisons ? </w:t>
            </w:r>
            <w:r w:rsidR="00E12DC3" w:rsidRPr="00996021">
              <w:t xml:space="preserve">qu’est-ce qui fait le bien ? qu’est-ce qui fait le mal ? </w:t>
            </w:r>
            <w:r w:rsidRPr="00996021">
              <w:t xml:space="preserve">Peut-on y remédier ou l’éviter ? </w:t>
            </w:r>
            <w:r w:rsidR="00410B1F">
              <w:t>Q</w:t>
            </w:r>
            <w:r w:rsidR="003E0D31" w:rsidRPr="00996021">
              <w:t>u</w:t>
            </w:r>
            <w:r w:rsidR="00822854" w:rsidRPr="00996021">
              <w:t>’est-ce que je peux faire d’autre</w:t>
            </w:r>
            <w:r w:rsidR="00E12DC3" w:rsidRPr="00996021">
              <w:t xml:space="preserve"> ? </w:t>
            </w:r>
            <w:r w:rsidR="00410B1F">
              <w:t>C</w:t>
            </w:r>
            <w:r w:rsidRPr="00996021">
              <w:t>omment ?</w:t>
            </w:r>
          </w:p>
          <w:p w:rsidR="00642F99" w:rsidRDefault="00642F99" w:rsidP="007D20B6">
            <w:pPr>
              <w:jc w:val="both"/>
            </w:pPr>
            <w:r w:rsidRPr="00996021">
              <w:t>Idem pour chaque groupe</w:t>
            </w:r>
          </w:p>
          <w:p w:rsidR="00410B1F" w:rsidRPr="00410B1F" w:rsidRDefault="00410B1F" w:rsidP="007D20B6">
            <w:pPr>
              <w:jc w:val="both"/>
              <w:rPr>
                <w:sz w:val="10"/>
              </w:rPr>
            </w:pPr>
          </w:p>
        </w:tc>
        <w:tc>
          <w:tcPr>
            <w:tcW w:w="1851" w:type="dxa"/>
          </w:tcPr>
          <w:p w:rsidR="00642F99" w:rsidRDefault="00642F99" w:rsidP="007D20B6">
            <w:pPr>
              <w:jc w:val="both"/>
            </w:pPr>
          </w:p>
        </w:tc>
      </w:tr>
      <w:tr w:rsidR="00642F99" w:rsidTr="00C05378">
        <w:tc>
          <w:tcPr>
            <w:tcW w:w="2093" w:type="dxa"/>
          </w:tcPr>
          <w:p w:rsidR="00642F99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Conclusion</w:t>
            </w:r>
          </w:p>
          <w:p w:rsidR="00642F99" w:rsidRDefault="00642F99" w:rsidP="007D20B6">
            <w:pPr>
              <w:jc w:val="both"/>
              <w:rPr>
                <w:b/>
              </w:rPr>
            </w:pPr>
            <w:r>
              <w:rPr>
                <w:b/>
              </w:rPr>
              <w:t>5 mn</w:t>
            </w:r>
          </w:p>
        </w:tc>
        <w:tc>
          <w:tcPr>
            <w:tcW w:w="6662" w:type="dxa"/>
          </w:tcPr>
          <w:p w:rsidR="00642F99" w:rsidRPr="00996021" w:rsidRDefault="00642F99" w:rsidP="007D20B6">
            <w:pPr>
              <w:jc w:val="both"/>
            </w:pPr>
            <w:r>
              <w:t>Nous connaissons to</w:t>
            </w:r>
            <w:r w:rsidRPr="00996021">
              <w:t xml:space="preserve">us ce genre de </w:t>
            </w:r>
            <w:r w:rsidR="00E12DC3" w:rsidRPr="00996021">
              <w:t>bonnes situations et des situations toxiques</w:t>
            </w:r>
            <w:r w:rsidR="00822854" w:rsidRPr="00996021">
              <w:t xml:space="preserve"> : </w:t>
            </w:r>
            <w:r w:rsidR="00822854" w:rsidRPr="00996021">
              <w:rPr>
                <w:b/>
              </w:rPr>
              <w:t xml:space="preserve">des paroles qui peuvent être des </w:t>
            </w:r>
            <w:r w:rsidR="00410B1F">
              <w:rPr>
                <w:b/>
              </w:rPr>
              <w:t>« </w:t>
            </w:r>
            <w:r w:rsidR="00822854" w:rsidRPr="00996021">
              <w:rPr>
                <w:b/>
              </w:rPr>
              <w:t>couteaux</w:t>
            </w:r>
            <w:r w:rsidR="00410B1F">
              <w:rPr>
                <w:b/>
              </w:rPr>
              <w:t> »</w:t>
            </w:r>
            <w:r w:rsidR="00822854" w:rsidRPr="00996021">
              <w:rPr>
                <w:b/>
              </w:rPr>
              <w:t xml:space="preserve">, ou des paroles qui peuvent être des </w:t>
            </w:r>
            <w:r w:rsidR="00410B1F">
              <w:rPr>
                <w:b/>
              </w:rPr>
              <w:t>« </w:t>
            </w:r>
            <w:r w:rsidR="00822854" w:rsidRPr="00996021">
              <w:rPr>
                <w:b/>
              </w:rPr>
              <w:t>caresses</w:t>
            </w:r>
            <w:r w:rsidR="00410B1F">
              <w:rPr>
                <w:b/>
              </w:rPr>
              <w:t> »</w:t>
            </w:r>
            <w:r w:rsidR="00822854" w:rsidRPr="00996021">
              <w:t>.</w:t>
            </w:r>
            <w:r w:rsidRPr="00996021">
              <w:t xml:space="preserve"> Il est important de prendre conscience du mal </w:t>
            </w:r>
            <w:r w:rsidR="00E12DC3" w:rsidRPr="00996021">
              <w:t xml:space="preserve">ou du bien </w:t>
            </w:r>
            <w:r w:rsidRPr="00996021">
              <w:t>qu’elles nous font et d</w:t>
            </w:r>
            <w:r w:rsidR="00E12DC3" w:rsidRPr="00996021">
              <w:t>’agir en conséquence</w:t>
            </w:r>
            <w:r w:rsidRPr="00996021">
              <w:t>.</w:t>
            </w:r>
          </w:p>
          <w:p w:rsidR="00642F99" w:rsidRPr="00E12DC3" w:rsidRDefault="00642F99" w:rsidP="00822854">
            <w:pPr>
              <w:jc w:val="both"/>
              <w:rPr>
                <w:color w:val="00B050"/>
              </w:rPr>
            </w:pPr>
            <w:r w:rsidRPr="00996021">
              <w:t>A noter : nous ne sommes pas que les victimes de ces situations</w:t>
            </w:r>
            <w:r w:rsidR="00822854" w:rsidRPr="00996021">
              <w:t>,</w:t>
            </w:r>
            <w:r w:rsidRPr="00996021">
              <w:t xml:space="preserve"> nous en sommes parfois les auteurs. Les identifier et les jouer nous a permis de nous rendre compte du mal</w:t>
            </w:r>
            <w:r w:rsidR="00822854" w:rsidRPr="00996021">
              <w:t xml:space="preserve"> ou du bien</w:t>
            </w:r>
            <w:r w:rsidRPr="00996021">
              <w:t xml:space="preserve"> qu’elles peuvent faire.</w:t>
            </w:r>
            <w:r w:rsidR="00996021" w:rsidRPr="00996021">
              <w:t xml:space="preserve"> Nous pouvons faire le bien.</w:t>
            </w:r>
          </w:p>
        </w:tc>
        <w:tc>
          <w:tcPr>
            <w:tcW w:w="1851" w:type="dxa"/>
          </w:tcPr>
          <w:p w:rsidR="00642F99" w:rsidRDefault="00642F99" w:rsidP="007D20B6">
            <w:pPr>
              <w:jc w:val="both"/>
            </w:pPr>
          </w:p>
        </w:tc>
      </w:tr>
      <w:tr w:rsidR="00413B86" w:rsidRPr="00F7228D" w:rsidTr="00C05378">
        <w:tc>
          <w:tcPr>
            <w:tcW w:w="2093" w:type="dxa"/>
          </w:tcPr>
          <w:p w:rsidR="00413B86" w:rsidRPr="00F7228D" w:rsidRDefault="00413B86" w:rsidP="007D20B6">
            <w:pPr>
              <w:jc w:val="both"/>
              <w:rPr>
                <w:b/>
              </w:rPr>
            </w:pPr>
            <w:r w:rsidRPr="00F7228D">
              <w:rPr>
                <w:b/>
              </w:rPr>
              <w:t xml:space="preserve">On remplit </w:t>
            </w:r>
            <w:r w:rsidR="00C05378">
              <w:rPr>
                <w:b/>
              </w:rPr>
              <w:t>« </w:t>
            </w:r>
            <w:r w:rsidRPr="00F7228D">
              <w:rPr>
                <w:b/>
              </w:rPr>
              <w:t>la feuille de route</w:t>
            </w:r>
            <w:r w:rsidR="00C05378">
              <w:rPr>
                <w:b/>
              </w:rPr>
              <w:t> »</w:t>
            </w:r>
          </w:p>
          <w:p w:rsidR="00413B86" w:rsidRPr="00F7228D" w:rsidRDefault="00413B86" w:rsidP="007D20B6">
            <w:pPr>
              <w:jc w:val="both"/>
              <w:rPr>
                <w:b/>
              </w:rPr>
            </w:pPr>
            <w:r w:rsidRPr="00F7228D">
              <w:rPr>
                <w:b/>
              </w:rPr>
              <w:t>5mns</w:t>
            </w:r>
          </w:p>
        </w:tc>
        <w:tc>
          <w:tcPr>
            <w:tcW w:w="6662" w:type="dxa"/>
          </w:tcPr>
          <w:p w:rsidR="00413B86" w:rsidRDefault="003519DA" w:rsidP="007D20B6">
            <w:pPr>
              <w:jc w:val="both"/>
            </w:pPr>
            <w:r>
              <w:t>C</w:t>
            </w:r>
            <w:r w:rsidR="00413B86" w:rsidRPr="00F7228D">
              <w:t>oller l’image du couteau et de la caresse sur la feuille de route.</w:t>
            </w:r>
          </w:p>
          <w:p w:rsidR="003519DA" w:rsidRPr="00F7228D" w:rsidRDefault="003519DA" w:rsidP="007D20B6">
            <w:pPr>
              <w:jc w:val="both"/>
            </w:pPr>
            <w:r>
              <w:t>Ecrire la phrase : « Des paroles qui peuvent être des couteaux, ou des paroles qui peuvent être des caresses ».</w:t>
            </w:r>
          </w:p>
          <w:p w:rsidR="004863E3" w:rsidRPr="00F7228D" w:rsidRDefault="004863E3" w:rsidP="007D20B6">
            <w:pPr>
              <w:jc w:val="both"/>
            </w:pPr>
            <w:r w:rsidRPr="00F7228D">
              <w:t>Faire le geste avec le coup dans la main et les mains qui se caressent.</w:t>
            </w:r>
          </w:p>
        </w:tc>
        <w:tc>
          <w:tcPr>
            <w:tcW w:w="1851" w:type="dxa"/>
          </w:tcPr>
          <w:p w:rsidR="00413B86" w:rsidRPr="00F7228D" w:rsidRDefault="00C05378" w:rsidP="00C05378">
            <w:r>
              <w:t>« Feuille de route » en annexe et expliqué dans le « document guide »</w:t>
            </w:r>
          </w:p>
        </w:tc>
      </w:tr>
      <w:tr w:rsidR="00641FCD" w:rsidTr="00C05378">
        <w:tc>
          <w:tcPr>
            <w:tcW w:w="2093" w:type="dxa"/>
          </w:tcPr>
          <w:p w:rsidR="00641FCD" w:rsidRPr="00F7228D" w:rsidRDefault="00641FCD" w:rsidP="007D20B6">
            <w:p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641FCD" w:rsidRPr="00F7228D" w:rsidRDefault="00641FCD" w:rsidP="007D20B6">
            <w:pPr>
              <w:jc w:val="both"/>
            </w:pPr>
            <w:r w:rsidRPr="00F7228D">
              <w:t xml:space="preserve">Reprise du chant </w:t>
            </w:r>
            <w:r w:rsidR="00C05378">
              <w:t xml:space="preserve">« Tous ensemble » </w:t>
            </w:r>
            <w:r w:rsidRPr="00F7228D">
              <w:t>pour terminer.</w:t>
            </w:r>
          </w:p>
        </w:tc>
        <w:tc>
          <w:tcPr>
            <w:tcW w:w="1851" w:type="dxa"/>
          </w:tcPr>
          <w:p w:rsidR="00641FCD" w:rsidRDefault="00641FCD" w:rsidP="007D20B6">
            <w:pPr>
              <w:jc w:val="both"/>
            </w:pPr>
          </w:p>
        </w:tc>
      </w:tr>
    </w:tbl>
    <w:p w:rsidR="003954E1" w:rsidRDefault="003954E1" w:rsidP="003954E1"/>
    <w:p w:rsidR="00D31155" w:rsidRDefault="00641FCD">
      <w:r>
        <w:t>Si on est en Temps Fort, les élèves vont en récréation à la suite de cet atelier.</w:t>
      </w:r>
    </w:p>
    <w:sectPr w:rsidR="00D31155" w:rsidSect="00810C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13" w:rsidRDefault="009B5713" w:rsidP="00283227">
      <w:pPr>
        <w:spacing w:after="0" w:line="240" w:lineRule="auto"/>
      </w:pPr>
      <w:r>
        <w:separator/>
      </w:r>
    </w:p>
  </w:endnote>
  <w:endnote w:type="continuationSeparator" w:id="0">
    <w:p w:rsidR="009B5713" w:rsidRDefault="009B5713" w:rsidP="0028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13" w:rsidRDefault="009B5713" w:rsidP="00283227">
      <w:pPr>
        <w:spacing w:after="0" w:line="240" w:lineRule="auto"/>
      </w:pPr>
      <w:r>
        <w:separator/>
      </w:r>
    </w:p>
  </w:footnote>
  <w:footnote w:type="continuationSeparator" w:id="0">
    <w:p w:rsidR="009B5713" w:rsidRDefault="009B5713" w:rsidP="0028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7" w:rsidRDefault="00283227" w:rsidP="00283227">
    <w:pPr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pacing w:after="0" w:line="240" w:lineRule="auto"/>
      <w:jc w:val="both"/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5877732</wp:posOffset>
          </wp:positionH>
          <wp:positionV relativeFrom="paragraph">
            <wp:posOffset>-320722</wp:posOffset>
          </wp:positionV>
          <wp:extent cx="861230" cy="1030406"/>
          <wp:effectExtent l="19050" t="0" r="0" b="0"/>
          <wp:wrapNone/>
          <wp:docPr id="2" name="Image 1" descr="C:\Users\moi\Documents\PASTORALE tutellle RA\Tutelle RA CRPA Pasto\DOCS PASTO Tutelle\Arbre-logo_CRPA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cuments\PASTORALE tutellle RA\Tutelle RA CRPA Pasto\DOCS PASTO Tutelle\Arbre-logo_CRPA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30" cy="1030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bCs/>
      </w:rPr>
      <w:t xml:space="preserve">CRPA Pasto </w:t>
    </w:r>
    <w:r w:rsidR="00C05378">
      <w:rPr>
        <w:rFonts w:ascii="Century Gothic" w:hAnsi="Century Gothic" w:cs="Century Gothic"/>
        <w:b/>
        <w:bCs/>
      </w:rPr>
      <w:t>Février 2019</w:t>
    </w:r>
  </w:p>
  <w:p w:rsidR="00283227" w:rsidRPr="00DB7014" w:rsidRDefault="00283227" w:rsidP="00283227">
    <w:pPr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pacing w:after="0" w:line="240" w:lineRule="auto"/>
      <w:jc w:val="both"/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« Relations en vérité »</w:t>
    </w:r>
  </w:p>
  <w:p w:rsidR="00283227" w:rsidRDefault="00283227">
    <w:pPr>
      <w:pStyle w:val="En-tte"/>
    </w:pPr>
  </w:p>
  <w:p w:rsidR="00283227" w:rsidRDefault="0028322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E1"/>
    <w:rsid w:val="00075EDF"/>
    <w:rsid w:val="00261FBF"/>
    <w:rsid w:val="00283227"/>
    <w:rsid w:val="002F4664"/>
    <w:rsid w:val="003519DA"/>
    <w:rsid w:val="003954E1"/>
    <w:rsid w:val="003E0D31"/>
    <w:rsid w:val="00410B1F"/>
    <w:rsid w:val="00413B86"/>
    <w:rsid w:val="0043712B"/>
    <w:rsid w:val="004863E3"/>
    <w:rsid w:val="00541BF3"/>
    <w:rsid w:val="00564DF0"/>
    <w:rsid w:val="00622F2A"/>
    <w:rsid w:val="00641FCD"/>
    <w:rsid w:val="00642F99"/>
    <w:rsid w:val="00650187"/>
    <w:rsid w:val="00654572"/>
    <w:rsid w:val="006F1CEC"/>
    <w:rsid w:val="00761426"/>
    <w:rsid w:val="00763040"/>
    <w:rsid w:val="00822854"/>
    <w:rsid w:val="00884454"/>
    <w:rsid w:val="009251C6"/>
    <w:rsid w:val="00975CD1"/>
    <w:rsid w:val="00996021"/>
    <w:rsid w:val="009B5713"/>
    <w:rsid w:val="00B96E58"/>
    <w:rsid w:val="00C00EBF"/>
    <w:rsid w:val="00C05378"/>
    <w:rsid w:val="00C35F0D"/>
    <w:rsid w:val="00C70E04"/>
    <w:rsid w:val="00C96972"/>
    <w:rsid w:val="00CD0E99"/>
    <w:rsid w:val="00CF204B"/>
    <w:rsid w:val="00D31155"/>
    <w:rsid w:val="00D34DE9"/>
    <w:rsid w:val="00D73092"/>
    <w:rsid w:val="00E12DC3"/>
    <w:rsid w:val="00F247D5"/>
    <w:rsid w:val="00F7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4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27"/>
  </w:style>
  <w:style w:type="paragraph" w:styleId="Pieddepage">
    <w:name w:val="footer"/>
    <w:basedOn w:val="Normal"/>
    <w:link w:val="PieddepageCar"/>
    <w:uiPriority w:val="99"/>
    <w:semiHidden/>
    <w:unhideWhenUsed/>
    <w:rsid w:val="002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227"/>
  </w:style>
  <w:style w:type="paragraph" w:styleId="Textedebulles">
    <w:name w:val="Balloon Text"/>
    <w:basedOn w:val="Normal"/>
    <w:link w:val="TextedebullesCar"/>
    <w:uiPriority w:val="99"/>
    <w:semiHidden/>
    <w:unhideWhenUsed/>
    <w:rsid w:val="002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Jeanne d'Arc Assomption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assomption-france</cp:lastModifiedBy>
  <cp:revision>22</cp:revision>
  <dcterms:created xsi:type="dcterms:W3CDTF">2018-09-19T13:35:00Z</dcterms:created>
  <dcterms:modified xsi:type="dcterms:W3CDTF">2019-02-06T16:24:00Z</dcterms:modified>
</cp:coreProperties>
</file>