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3E" w:rsidRPr="00CA5B38" w:rsidRDefault="002B453E" w:rsidP="00CA5B38">
      <w:pPr>
        <w:spacing w:after="0" w:line="240" w:lineRule="auto"/>
        <w:jc w:val="center"/>
        <w:rPr>
          <w:b/>
          <w:sz w:val="32"/>
          <w:szCs w:val="24"/>
          <w:u w:val="single"/>
        </w:rPr>
      </w:pPr>
      <w:r w:rsidRPr="00CA5B38">
        <w:rPr>
          <w:b/>
          <w:sz w:val="32"/>
          <w:szCs w:val="24"/>
          <w:u w:val="single"/>
        </w:rPr>
        <w:t>Atelier 2</w:t>
      </w:r>
      <w:r w:rsidR="00AD39CC">
        <w:rPr>
          <w:b/>
          <w:sz w:val="32"/>
          <w:szCs w:val="24"/>
          <w:u w:val="single"/>
        </w:rPr>
        <w:t> : « Etre bien avec moi-même et le prochain »</w:t>
      </w:r>
    </w:p>
    <w:p w:rsidR="002B453E" w:rsidRDefault="002B453E" w:rsidP="002B453E">
      <w:pPr>
        <w:spacing w:after="0" w:line="240" w:lineRule="auto"/>
      </w:pPr>
    </w:p>
    <w:p w:rsidR="00515ACA" w:rsidRPr="00F210E7" w:rsidRDefault="00F346B9" w:rsidP="00CA5B38">
      <w:pPr>
        <w:rPr>
          <w:b/>
          <w:szCs w:val="24"/>
        </w:rPr>
      </w:pPr>
      <w:r w:rsidRPr="00F210E7">
        <w:rPr>
          <w:b/>
          <w:szCs w:val="24"/>
        </w:rPr>
        <w:t>L’objectif de cet atelier est de faire émerger les moyens qui permettent une qualité d’écoute de la parole de l’autre.</w:t>
      </w:r>
    </w:p>
    <w:p w:rsidR="00515ACA" w:rsidRPr="00F210E7" w:rsidRDefault="00515ACA" w:rsidP="00CA5B38">
      <w:pPr>
        <w:rPr>
          <w:b/>
          <w:szCs w:val="24"/>
        </w:rPr>
      </w:pPr>
      <w:r w:rsidRPr="00F210E7">
        <w:rPr>
          <w:b/>
          <w:szCs w:val="24"/>
        </w:rPr>
        <w:t xml:space="preserve"> « Aucun des êtres humains ne possède la vérité, ce qui les rend complémentaires : chacun apprend de l’autre et tous passent leur vie à chercher la vérité ». (Voir document « Concept »)</w:t>
      </w:r>
    </w:p>
    <w:p w:rsidR="00D810A4" w:rsidRPr="00F210E7" w:rsidRDefault="00D810A4" w:rsidP="00CA5B38">
      <w:pPr>
        <w:rPr>
          <w:b/>
          <w:szCs w:val="24"/>
        </w:rPr>
      </w:pPr>
      <w:r w:rsidRPr="00F210E7">
        <w:rPr>
          <w:b/>
          <w:szCs w:val="24"/>
        </w:rPr>
        <w:t>Prévoir 2 animateurs par classe.</w:t>
      </w:r>
    </w:p>
    <w:p w:rsidR="00244903" w:rsidRPr="00F210E7" w:rsidRDefault="00244903" w:rsidP="00CA5B38">
      <w:pPr>
        <w:rPr>
          <w:b/>
          <w:szCs w:val="24"/>
        </w:rPr>
      </w:pPr>
      <w:r w:rsidRPr="00F210E7">
        <w:rPr>
          <w:b/>
          <w:szCs w:val="24"/>
        </w:rPr>
        <w:t>Par groupe de 15 max.</w:t>
      </w:r>
    </w:p>
    <w:p w:rsidR="00D810A4" w:rsidRDefault="00D810A4" w:rsidP="00CA5B38">
      <w:pPr>
        <w:rPr>
          <w:b/>
          <w:sz w:val="24"/>
          <w:szCs w:val="24"/>
        </w:rPr>
      </w:pPr>
    </w:p>
    <w:p w:rsidR="00D810A4" w:rsidRPr="00CA5B38" w:rsidRDefault="00D810A4" w:rsidP="00CA5B38">
      <w:pPr>
        <w:rPr>
          <w:b/>
          <w:sz w:val="24"/>
          <w:szCs w:val="24"/>
        </w:rPr>
        <w:sectPr w:rsidR="00D810A4" w:rsidRPr="00CA5B38" w:rsidSect="00422011">
          <w:headerReference w:type="default" r:id="rId7"/>
          <w:footerReference w:type="default" r:id="rId8"/>
          <w:pgSz w:w="11906" w:h="16838"/>
          <w:pgMar w:top="1843" w:right="720" w:bottom="720" w:left="720" w:header="708" w:footer="708" w:gutter="0"/>
          <w:cols w:space="708"/>
          <w:docGrid w:linePitch="360"/>
        </w:sectPr>
      </w:pPr>
    </w:p>
    <w:tbl>
      <w:tblPr>
        <w:tblStyle w:val="Grilledutableau"/>
        <w:tblW w:w="0" w:type="auto"/>
        <w:tblLook w:val="04A0"/>
      </w:tblPr>
      <w:tblGrid>
        <w:gridCol w:w="2093"/>
        <w:gridCol w:w="6662"/>
        <w:gridCol w:w="1851"/>
      </w:tblGrid>
      <w:tr w:rsidR="00330350" w:rsidRPr="005655EA" w:rsidTr="00BA7CB3">
        <w:tc>
          <w:tcPr>
            <w:tcW w:w="2093" w:type="dxa"/>
          </w:tcPr>
          <w:p w:rsidR="00330350" w:rsidRPr="005655EA" w:rsidRDefault="00330350" w:rsidP="00BA7CB3">
            <w:pPr>
              <w:jc w:val="center"/>
              <w:rPr>
                <w:b/>
                <w:sz w:val="28"/>
              </w:rPr>
            </w:pPr>
            <w:r w:rsidRPr="005655EA">
              <w:rPr>
                <w:b/>
                <w:sz w:val="28"/>
              </w:rPr>
              <w:lastRenderedPageBreak/>
              <w:t>Intitulé - durée</w:t>
            </w:r>
          </w:p>
        </w:tc>
        <w:tc>
          <w:tcPr>
            <w:tcW w:w="6662" w:type="dxa"/>
          </w:tcPr>
          <w:p w:rsidR="00330350" w:rsidRPr="005655EA" w:rsidRDefault="00330350" w:rsidP="001D5CFB">
            <w:pPr>
              <w:jc w:val="center"/>
              <w:rPr>
                <w:b/>
                <w:sz w:val="28"/>
              </w:rPr>
            </w:pPr>
            <w:r>
              <w:rPr>
                <w:b/>
                <w:sz w:val="28"/>
              </w:rPr>
              <w:t>Atelier 2</w:t>
            </w:r>
          </w:p>
        </w:tc>
        <w:tc>
          <w:tcPr>
            <w:tcW w:w="1851" w:type="dxa"/>
          </w:tcPr>
          <w:p w:rsidR="00330350" w:rsidRPr="005655EA" w:rsidRDefault="00330350" w:rsidP="00BA7CB3">
            <w:pPr>
              <w:jc w:val="center"/>
              <w:rPr>
                <w:b/>
                <w:sz w:val="28"/>
              </w:rPr>
            </w:pPr>
            <w:r w:rsidRPr="005655EA">
              <w:rPr>
                <w:b/>
                <w:sz w:val="28"/>
              </w:rPr>
              <w:t>Matériel</w:t>
            </w:r>
          </w:p>
        </w:tc>
      </w:tr>
      <w:tr w:rsidR="00330350" w:rsidTr="00BA7CB3">
        <w:tc>
          <w:tcPr>
            <w:tcW w:w="2093" w:type="dxa"/>
          </w:tcPr>
          <w:p w:rsidR="00330350" w:rsidRDefault="00330350" w:rsidP="00BA7CB3">
            <w:pPr>
              <w:rPr>
                <w:b/>
              </w:rPr>
            </w:pPr>
            <w:r>
              <w:t xml:space="preserve">Préparation </w:t>
            </w:r>
            <w:r w:rsidRPr="00013637">
              <w:rPr>
                <w:b/>
              </w:rPr>
              <w:t>à réaliser avant l’activité</w:t>
            </w:r>
          </w:p>
          <w:p w:rsidR="00330350" w:rsidRDefault="006073D8" w:rsidP="00BA7CB3">
            <w:r>
              <w:rPr>
                <w:b/>
              </w:rPr>
              <w:t>10</w:t>
            </w:r>
            <w:r w:rsidR="00330350">
              <w:rPr>
                <w:b/>
              </w:rPr>
              <w:t xml:space="preserve"> mn</w:t>
            </w:r>
            <w:r>
              <w:rPr>
                <w:b/>
              </w:rPr>
              <w:t>s</w:t>
            </w:r>
          </w:p>
        </w:tc>
        <w:tc>
          <w:tcPr>
            <w:tcW w:w="6662" w:type="dxa"/>
          </w:tcPr>
          <w:p w:rsidR="00330350" w:rsidRDefault="000D1ED2" w:rsidP="00BA7CB3">
            <w:pPr>
              <w:jc w:val="both"/>
            </w:pPr>
            <w:r>
              <w:t>Choisir l’une des 2 grilles proposées</w:t>
            </w:r>
            <w:r w:rsidR="00F15498">
              <w:t xml:space="preserve"> (Documents « Grille au choix n°1 » ou « Grille au choix n°2 »)</w:t>
            </w:r>
            <w:r>
              <w:t>.</w:t>
            </w:r>
          </w:p>
          <w:p w:rsidR="000D1ED2" w:rsidRDefault="000D1ED2" w:rsidP="00BA7CB3">
            <w:pPr>
              <w:jc w:val="both"/>
            </w:pPr>
            <w:r>
              <w:t>Faire autant de copies que d’élèves pour la grille choisie.</w:t>
            </w:r>
          </w:p>
          <w:p w:rsidR="00330350" w:rsidRDefault="00330350" w:rsidP="006073D8">
            <w:pPr>
              <w:jc w:val="both"/>
            </w:pPr>
          </w:p>
        </w:tc>
        <w:tc>
          <w:tcPr>
            <w:tcW w:w="1851" w:type="dxa"/>
          </w:tcPr>
          <w:p w:rsidR="00330350" w:rsidRDefault="00A77565" w:rsidP="00A77565">
            <w:r>
              <w:t xml:space="preserve">- </w:t>
            </w:r>
            <w:r w:rsidR="00330350">
              <w:t xml:space="preserve">document </w:t>
            </w:r>
            <w:r w:rsidR="006073D8">
              <w:t>« </w:t>
            </w:r>
            <w:r>
              <w:t>G</w:t>
            </w:r>
            <w:r w:rsidR="00330350">
              <w:t>rille</w:t>
            </w:r>
            <w:r>
              <w:t xml:space="preserve"> au choix n°1 </w:t>
            </w:r>
            <w:r w:rsidR="006073D8">
              <w:t>»</w:t>
            </w:r>
            <w:r>
              <w:t xml:space="preserve"> ou « Grille au choix n°2 »</w:t>
            </w:r>
          </w:p>
          <w:p w:rsidR="00CB1CDE" w:rsidRDefault="00A77565" w:rsidP="00A77565">
            <w:r>
              <w:t xml:space="preserve">- Cf Chant « Tous ensemble ». </w:t>
            </w:r>
          </w:p>
          <w:p w:rsidR="00330350" w:rsidRDefault="00330350" w:rsidP="00BA7CB3">
            <w:pPr>
              <w:jc w:val="both"/>
            </w:pPr>
          </w:p>
        </w:tc>
      </w:tr>
      <w:tr w:rsidR="00CB1CDE" w:rsidTr="00BA7CB3">
        <w:tc>
          <w:tcPr>
            <w:tcW w:w="2093" w:type="dxa"/>
          </w:tcPr>
          <w:p w:rsidR="00CB1CDE" w:rsidRDefault="00CB1CDE" w:rsidP="00BA7CB3">
            <w:pPr>
              <w:jc w:val="both"/>
            </w:pPr>
            <w:r>
              <w:t>Chant – 5mns</w:t>
            </w:r>
          </w:p>
        </w:tc>
        <w:tc>
          <w:tcPr>
            <w:tcW w:w="6662" w:type="dxa"/>
          </w:tcPr>
          <w:p w:rsidR="00CB1CDE" w:rsidRPr="00CB1CDE" w:rsidRDefault="00CB1CDE" w:rsidP="006E6E79">
            <w:r w:rsidRPr="00CB1CDE">
              <w:rPr>
                <w:szCs w:val="24"/>
              </w:rPr>
              <w:t xml:space="preserve">Commencer par chanter </w:t>
            </w:r>
            <w:r w:rsidR="005C0747">
              <w:rPr>
                <w:szCs w:val="24"/>
              </w:rPr>
              <w:t>le refrain et le couplet 4</w:t>
            </w:r>
            <w:r w:rsidRPr="00CB1CDE">
              <w:rPr>
                <w:szCs w:val="24"/>
              </w:rPr>
              <w:t xml:space="preserve"> du chant « Tous ensemble »</w:t>
            </w:r>
          </w:p>
        </w:tc>
        <w:tc>
          <w:tcPr>
            <w:tcW w:w="1851" w:type="dxa"/>
          </w:tcPr>
          <w:p w:rsidR="00CB1CDE" w:rsidRDefault="00CB1CDE" w:rsidP="00BA7CB3">
            <w:pPr>
              <w:jc w:val="both"/>
            </w:pPr>
          </w:p>
        </w:tc>
      </w:tr>
      <w:tr w:rsidR="004D2850" w:rsidTr="004D2850">
        <w:tc>
          <w:tcPr>
            <w:tcW w:w="2093" w:type="dxa"/>
          </w:tcPr>
          <w:p w:rsidR="004D2850" w:rsidRDefault="004D2850" w:rsidP="004D2850">
            <w:pPr>
              <w:jc w:val="both"/>
            </w:pPr>
            <w:r>
              <w:t>Mise en place</w:t>
            </w:r>
          </w:p>
          <w:p w:rsidR="004D2850" w:rsidRDefault="004D2850" w:rsidP="004D2850">
            <w:pPr>
              <w:jc w:val="both"/>
            </w:pPr>
            <w:r>
              <w:t>2 mns</w:t>
            </w:r>
          </w:p>
        </w:tc>
        <w:tc>
          <w:tcPr>
            <w:tcW w:w="6662" w:type="dxa"/>
          </w:tcPr>
          <w:p w:rsidR="004D2850" w:rsidRDefault="004D2850" w:rsidP="004D2850">
            <w:pPr>
              <w:jc w:val="both"/>
            </w:pPr>
            <w:r>
              <w:t>Distribu</w:t>
            </w:r>
            <w:r w:rsidR="00F91764">
              <w:t>er u</w:t>
            </w:r>
            <w:r>
              <w:t>ne grille vierge</w:t>
            </w:r>
            <w:r w:rsidR="00F91764">
              <w:t xml:space="preserve"> à chaque enfant</w:t>
            </w:r>
            <w:r>
              <w:t>.</w:t>
            </w:r>
          </w:p>
          <w:p w:rsidR="004D2850" w:rsidRDefault="004D2850" w:rsidP="004D2850">
            <w:pPr>
              <w:jc w:val="both"/>
            </w:pPr>
          </w:p>
        </w:tc>
        <w:tc>
          <w:tcPr>
            <w:tcW w:w="1851" w:type="dxa"/>
          </w:tcPr>
          <w:p w:rsidR="004D2850" w:rsidRDefault="004D2850" w:rsidP="00F91764">
            <w:pPr>
              <w:pStyle w:val="Paragraphedeliste"/>
              <w:ind w:left="429"/>
            </w:pPr>
          </w:p>
        </w:tc>
      </w:tr>
      <w:tr w:rsidR="00330350" w:rsidTr="00BA7CB3">
        <w:tc>
          <w:tcPr>
            <w:tcW w:w="2093" w:type="dxa"/>
          </w:tcPr>
          <w:p w:rsidR="00330350" w:rsidRDefault="00330350" w:rsidP="00BA7CB3">
            <w:pPr>
              <w:jc w:val="both"/>
            </w:pPr>
            <w:r>
              <w:t>Introduction</w:t>
            </w:r>
          </w:p>
          <w:p w:rsidR="00330350" w:rsidRDefault="004D2850" w:rsidP="00BA7CB3">
            <w:pPr>
              <w:jc w:val="both"/>
            </w:pPr>
            <w:r>
              <w:t>5</w:t>
            </w:r>
            <w:r w:rsidR="00330350">
              <w:t xml:space="preserve"> mn</w:t>
            </w:r>
            <w:r w:rsidR="008A5F93">
              <w:t>s</w:t>
            </w:r>
          </w:p>
        </w:tc>
        <w:tc>
          <w:tcPr>
            <w:tcW w:w="6662" w:type="dxa"/>
          </w:tcPr>
          <w:p w:rsidR="00330350" w:rsidRDefault="00330350" w:rsidP="00BA7CB3">
            <w:pPr>
              <w:jc w:val="both"/>
            </w:pPr>
            <w:r>
              <w:t xml:space="preserve">« Aujourd’hui nous allons donner notre avis sur plusieurs situations qui nous concernent. Chaque situation est écrite </w:t>
            </w:r>
            <w:r w:rsidR="00A32F16">
              <w:t>dans un tableau</w:t>
            </w:r>
            <w:r>
              <w:t xml:space="preserve">. Vous </w:t>
            </w:r>
            <w:r w:rsidR="00A32F16">
              <w:t xml:space="preserve">allez </w:t>
            </w:r>
            <w:r w:rsidR="00D810A4">
              <w:t xml:space="preserve">donner votre avis sur chaque situation en </w:t>
            </w:r>
            <w:r w:rsidR="00A32F16">
              <w:t>coch</w:t>
            </w:r>
            <w:r w:rsidR="00D810A4">
              <w:t xml:space="preserve">ant </w:t>
            </w:r>
            <w:r>
              <w:t>dans une colonne </w:t>
            </w:r>
            <w:r w:rsidR="00D810A4">
              <w:t xml:space="preserve">ce </w:t>
            </w:r>
            <w:r>
              <w:t xml:space="preserve">qui correspond à ce que </w:t>
            </w:r>
            <w:r w:rsidRPr="00C25772">
              <w:rPr>
                <w:b/>
              </w:rPr>
              <w:t xml:space="preserve">vous </w:t>
            </w:r>
            <w:r>
              <w:t>pensez</w:t>
            </w:r>
            <w:r w:rsidR="00D810A4">
              <w:t xml:space="preserve"> </w:t>
            </w:r>
            <w:r>
              <w:t>: « je suis d’accord » ou « je ne suis pas d’accord » ou « ça m’est égal » ou « je n’ai pas encore d’avis ».</w:t>
            </w:r>
          </w:p>
          <w:p w:rsidR="00330350" w:rsidRDefault="00D810A4" w:rsidP="00BA7CB3">
            <w:pPr>
              <w:jc w:val="both"/>
            </w:pPr>
            <w:r>
              <w:t>Donner un exemple avec le tableau.</w:t>
            </w:r>
          </w:p>
        </w:tc>
        <w:tc>
          <w:tcPr>
            <w:tcW w:w="1851" w:type="dxa"/>
          </w:tcPr>
          <w:p w:rsidR="00330350" w:rsidRDefault="00330350" w:rsidP="00BA7CB3">
            <w:pPr>
              <w:jc w:val="both"/>
            </w:pPr>
          </w:p>
        </w:tc>
      </w:tr>
      <w:tr w:rsidR="00330350" w:rsidTr="00BA7CB3">
        <w:tc>
          <w:tcPr>
            <w:tcW w:w="2093" w:type="dxa"/>
          </w:tcPr>
          <w:p w:rsidR="00330350" w:rsidRDefault="00330350" w:rsidP="00BA7CB3">
            <w:pPr>
              <w:jc w:val="both"/>
            </w:pPr>
            <w:r>
              <w:t>Déroulement de l’activité</w:t>
            </w:r>
          </w:p>
          <w:p w:rsidR="00330350" w:rsidRDefault="005C0747" w:rsidP="00BA7CB3">
            <w:pPr>
              <w:jc w:val="both"/>
            </w:pPr>
            <w:r>
              <w:t>5</w:t>
            </w:r>
            <w:r w:rsidR="00330350">
              <w:t xml:space="preserve"> mn</w:t>
            </w:r>
            <w:r w:rsidR="008A5F93">
              <w:t>s</w:t>
            </w:r>
          </w:p>
        </w:tc>
        <w:tc>
          <w:tcPr>
            <w:tcW w:w="6662" w:type="dxa"/>
          </w:tcPr>
          <w:p w:rsidR="00330350" w:rsidRDefault="004D2850" w:rsidP="004D2850">
            <w:pPr>
              <w:jc w:val="both"/>
            </w:pPr>
            <w:r>
              <w:t xml:space="preserve">L’animateur </w:t>
            </w:r>
            <w:r w:rsidR="00330350">
              <w:t xml:space="preserve">lit les phrases </w:t>
            </w:r>
            <w:r>
              <w:t xml:space="preserve">une par une. Il invite les élèves à </w:t>
            </w:r>
            <w:r w:rsidR="000D1ED2">
              <w:t>coche</w:t>
            </w:r>
            <w:r>
              <w:t>r</w:t>
            </w:r>
            <w:r w:rsidR="000D1ED2">
              <w:t xml:space="preserve"> l</w:t>
            </w:r>
            <w:r>
              <w:t>a</w:t>
            </w:r>
            <w:r w:rsidR="00AD39CC">
              <w:t xml:space="preserve"> case</w:t>
            </w:r>
            <w:r w:rsidR="000D1ED2">
              <w:t xml:space="preserve"> de son choix</w:t>
            </w:r>
            <w:r>
              <w:t xml:space="preserve"> à chaque fois</w:t>
            </w:r>
            <w:r w:rsidR="00330350">
              <w:t>.</w:t>
            </w:r>
            <w:r w:rsidR="000D1ED2">
              <w:t xml:space="preserve"> </w:t>
            </w:r>
            <w:r>
              <w:t>Ne pas perdre de temps sur cette étape, encourager les élèves à vite cocher leur réponse.</w:t>
            </w:r>
          </w:p>
        </w:tc>
        <w:tc>
          <w:tcPr>
            <w:tcW w:w="1851" w:type="dxa"/>
          </w:tcPr>
          <w:p w:rsidR="00330350" w:rsidRDefault="00330350" w:rsidP="00BA7CB3">
            <w:pPr>
              <w:jc w:val="both"/>
            </w:pPr>
          </w:p>
        </w:tc>
      </w:tr>
      <w:tr w:rsidR="00330350" w:rsidTr="00BA7CB3">
        <w:tc>
          <w:tcPr>
            <w:tcW w:w="2093" w:type="dxa"/>
          </w:tcPr>
          <w:p w:rsidR="00330350" w:rsidRDefault="00BA7CB3" w:rsidP="00BA7CB3">
            <w:pPr>
              <w:jc w:val="both"/>
            </w:pPr>
            <w:r>
              <w:t>Observation des avis des uns et des autres</w:t>
            </w:r>
          </w:p>
          <w:p w:rsidR="00330350" w:rsidRDefault="00BA7CB3" w:rsidP="00BA7CB3">
            <w:pPr>
              <w:jc w:val="both"/>
            </w:pPr>
            <w:r>
              <w:t>10</w:t>
            </w:r>
            <w:r w:rsidR="00330350">
              <w:t xml:space="preserve"> mn</w:t>
            </w:r>
            <w:r>
              <w:t>s</w:t>
            </w:r>
          </w:p>
        </w:tc>
        <w:tc>
          <w:tcPr>
            <w:tcW w:w="6662" w:type="dxa"/>
          </w:tcPr>
          <w:p w:rsidR="00330350" w:rsidRDefault="00330350" w:rsidP="00BA7CB3">
            <w:pPr>
              <w:jc w:val="both"/>
            </w:pPr>
            <w:r>
              <w:t>«  A présent nous allons remarquer que nos grilles, nos réponses sont</w:t>
            </w:r>
            <w:r w:rsidR="009C579D">
              <w:t xml:space="preserve"> sûrement</w:t>
            </w:r>
            <w:r>
              <w:t xml:space="preserve"> différentes. »</w:t>
            </w:r>
          </w:p>
          <w:p w:rsidR="009C579D" w:rsidRDefault="009C579D" w:rsidP="00BA7CB3">
            <w:pPr>
              <w:jc w:val="both"/>
            </w:pPr>
            <w:r>
              <w:t>L’animateur donne la règle suivante : « on va compter les avis sur chaque phrase. On va les noter au tableau.</w:t>
            </w:r>
            <w:r w:rsidR="00385D88">
              <w:t xml:space="preserve"> Durant ce temps, on va vous demander de bien rester silencieux, de ne pas faire de commentaires, de lever la main uniquement quand on va compter les avis ».</w:t>
            </w:r>
            <w:r w:rsidR="00F346B9">
              <w:t xml:space="preserve"> Dans ce travail, c’est cette méthode qui est importante, bien plus que d’entendre les avis des uns et des autres.</w:t>
            </w:r>
          </w:p>
          <w:p w:rsidR="00385D88" w:rsidRDefault="00385D88" w:rsidP="00BA7CB3">
            <w:pPr>
              <w:jc w:val="both"/>
            </w:pPr>
            <w:r>
              <w:t>L’animateur nomme la 1</w:t>
            </w:r>
            <w:r w:rsidRPr="00385D88">
              <w:rPr>
                <w:vertAlign w:val="superscript"/>
              </w:rPr>
              <w:t>ère</w:t>
            </w:r>
            <w:r>
              <w:t xml:space="preserve"> phrase, demande à ceux qui sont d’accord de lever la main, puis à ceux qui ne sont pas d’accord de lever la main, etc … tout en veillant au respect de la règle</w:t>
            </w:r>
            <w:r w:rsidR="00BA7CB3">
              <w:t>.</w:t>
            </w:r>
          </w:p>
          <w:p w:rsidR="00330350" w:rsidRDefault="00330350" w:rsidP="00751D7E">
            <w:pPr>
              <w:jc w:val="both"/>
            </w:pPr>
          </w:p>
        </w:tc>
        <w:tc>
          <w:tcPr>
            <w:tcW w:w="1851" w:type="dxa"/>
          </w:tcPr>
          <w:p w:rsidR="00330350" w:rsidRDefault="00330350" w:rsidP="00BA7CB3">
            <w:pPr>
              <w:jc w:val="both"/>
            </w:pPr>
          </w:p>
        </w:tc>
      </w:tr>
      <w:tr w:rsidR="00751D7E" w:rsidTr="00BA7CB3">
        <w:tc>
          <w:tcPr>
            <w:tcW w:w="2093" w:type="dxa"/>
          </w:tcPr>
          <w:p w:rsidR="00751D7E" w:rsidRDefault="00BA7CB3" w:rsidP="00BA7CB3">
            <w:pPr>
              <w:jc w:val="both"/>
            </w:pPr>
            <w:r>
              <w:t>Partage et échange</w:t>
            </w:r>
          </w:p>
          <w:p w:rsidR="00BA7CB3" w:rsidRDefault="00BA7CB3" w:rsidP="00BA7CB3">
            <w:pPr>
              <w:jc w:val="both"/>
            </w:pPr>
            <w:r>
              <w:t>15 mns</w:t>
            </w:r>
          </w:p>
        </w:tc>
        <w:tc>
          <w:tcPr>
            <w:tcW w:w="6662" w:type="dxa"/>
          </w:tcPr>
          <w:p w:rsidR="0038020B" w:rsidRDefault="007B2ADB" w:rsidP="00751D7E">
            <w:pPr>
              <w:jc w:val="both"/>
            </w:pPr>
            <w:r>
              <w:t>Choisir les</w:t>
            </w:r>
            <w:r w:rsidR="00BA7CB3">
              <w:t xml:space="preserve"> phrase</w:t>
            </w:r>
            <w:r>
              <w:t>s pour les</w:t>
            </w:r>
            <w:r w:rsidR="00BA7CB3">
              <w:t>quelle</w:t>
            </w:r>
            <w:r>
              <w:t>s</w:t>
            </w:r>
            <w:r w:rsidR="00BA7CB3">
              <w:t xml:space="preserve"> il y a le plus d’avis différents.</w:t>
            </w:r>
          </w:p>
          <w:p w:rsidR="00BA7CB3" w:rsidRDefault="0038020B" w:rsidP="00751D7E">
            <w:pPr>
              <w:jc w:val="both"/>
            </w:pPr>
            <w:r>
              <w:t xml:space="preserve">Relever </w:t>
            </w:r>
            <w:r w:rsidR="00E03079">
              <w:t xml:space="preserve">également </w:t>
            </w:r>
            <w:r>
              <w:t>les phrases où l’avis est unanime</w:t>
            </w:r>
            <w:r w:rsidR="00E03079">
              <w:t xml:space="preserve"> : par exemple, on </w:t>
            </w:r>
            <w:r w:rsidR="00E03079">
              <w:lastRenderedPageBreak/>
              <w:t>peut supposer que tout le monde ne sera pas d’accord avec la phrase</w:t>
            </w:r>
            <w:r w:rsidR="00515ACA">
              <w:t xml:space="preserve">. </w:t>
            </w:r>
            <w:r w:rsidR="00BA7CB3">
              <w:t>Demander/désigner un enfant</w:t>
            </w:r>
            <w:r w:rsidR="004B2949">
              <w:t xml:space="preserve"> par type d’avis</w:t>
            </w:r>
            <w:r w:rsidR="00BA7CB3">
              <w:t xml:space="preserve"> pour qu’il exprime </w:t>
            </w:r>
            <w:r w:rsidR="004B2949">
              <w:t>son</w:t>
            </w:r>
            <w:r w:rsidR="00BA7CB3">
              <w:t xml:space="preserve"> choix sur cette phrase.</w:t>
            </w:r>
          </w:p>
          <w:p w:rsidR="006B2050" w:rsidRDefault="006B2050" w:rsidP="006B2050">
            <w:pPr>
              <w:jc w:val="both"/>
            </w:pPr>
            <w:r>
              <w:t>Un échange s’amorce avec l’ensemble du groupe à partir des choix des uns et des autres.</w:t>
            </w:r>
            <w:r w:rsidR="00BE539C">
              <w:t xml:space="preserve"> </w:t>
            </w:r>
            <w:r w:rsidR="00913167">
              <w:t xml:space="preserve">L’échange doit absolument rester calme, c’est une règle à imposer dans la méthode. </w:t>
            </w:r>
            <w:r w:rsidR="00BE539C">
              <w:t>Cet échange n’a pas pour but de savoir qui a raison ou non, juste d’entendre qu’il y a des avis différents qui peuvent cohabiter ensemble.</w:t>
            </w:r>
          </w:p>
          <w:p w:rsidR="007B2ADB" w:rsidRDefault="00D23BD1" w:rsidP="00BA7CB3">
            <w:pPr>
              <w:jc w:val="both"/>
            </w:pPr>
            <w:r>
              <w:t>Veiller à ce que</w:t>
            </w:r>
            <w:r w:rsidR="00FB7F15">
              <w:t xml:space="preserve"> tous les enf</w:t>
            </w:r>
            <w:r w:rsidR="004723A5">
              <w:t>ant</w:t>
            </w:r>
            <w:r w:rsidR="00545F62">
              <w:t>s se soient au moins exprimés une fois.</w:t>
            </w:r>
          </w:p>
          <w:p w:rsidR="007B2ADB" w:rsidRDefault="007B2ADB" w:rsidP="00E03079">
            <w:pPr>
              <w:jc w:val="both"/>
            </w:pPr>
            <w:r>
              <w:t>Terminer l’échange en proposant aux enfants de changer d’avis s</w:t>
            </w:r>
            <w:r w:rsidR="00E03079">
              <w:t>’ils</w:t>
            </w:r>
            <w:r>
              <w:t xml:space="preserve"> le souhaite</w:t>
            </w:r>
            <w:r w:rsidR="00E03079">
              <w:t>nt</w:t>
            </w:r>
            <w:r>
              <w:t>.</w:t>
            </w:r>
          </w:p>
        </w:tc>
        <w:tc>
          <w:tcPr>
            <w:tcW w:w="1851" w:type="dxa"/>
          </w:tcPr>
          <w:p w:rsidR="00751D7E" w:rsidRDefault="00751D7E" w:rsidP="00BA7CB3">
            <w:pPr>
              <w:jc w:val="both"/>
            </w:pPr>
          </w:p>
        </w:tc>
      </w:tr>
      <w:tr w:rsidR="00330350" w:rsidTr="00BA7CB3">
        <w:tc>
          <w:tcPr>
            <w:tcW w:w="2093" w:type="dxa"/>
          </w:tcPr>
          <w:p w:rsidR="00330350" w:rsidRDefault="00330350" w:rsidP="00BA7CB3">
            <w:pPr>
              <w:jc w:val="both"/>
            </w:pPr>
            <w:r>
              <w:lastRenderedPageBreak/>
              <w:t>Relecture</w:t>
            </w:r>
          </w:p>
          <w:p w:rsidR="00BA7CB3" w:rsidRDefault="00BA7CB3" w:rsidP="00BA7CB3">
            <w:pPr>
              <w:jc w:val="both"/>
            </w:pPr>
            <w:r>
              <w:t>10 mns</w:t>
            </w:r>
          </w:p>
        </w:tc>
        <w:tc>
          <w:tcPr>
            <w:tcW w:w="6662" w:type="dxa"/>
          </w:tcPr>
          <w:p w:rsidR="00F346B9" w:rsidRDefault="00D4004D" w:rsidP="00E32325">
            <w:pPr>
              <w:jc w:val="both"/>
            </w:pPr>
            <w:r>
              <w:t xml:space="preserve">L’animateur met en avant le fait que tous les enfants ont pris le risque de donner leur avis, </w:t>
            </w:r>
            <w:r w:rsidR="00381A6C">
              <w:t>qu’</w:t>
            </w:r>
            <w:r>
              <w:t>ils ont</w:t>
            </w:r>
            <w:r w:rsidR="00381A6C">
              <w:t xml:space="preserve"> eu le courage de faire cela. On met en évidence </w:t>
            </w:r>
            <w:r w:rsidR="00F346B9">
              <w:t>les moyens qui ont permis l’expression libre des avis différents :</w:t>
            </w:r>
          </w:p>
          <w:p w:rsidR="00E32325" w:rsidRDefault="00913167" w:rsidP="00913167">
            <w:pPr>
              <w:pStyle w:val="Paragraphedeliste"/>
              <w:numPr>
                <w:ilvl w:val="0"/>
                <w:numId w:val="5"/>
              </w:numPr>
              <w:jc w:val="both"/>
            </w:pPr>
            <w:r>
              <w:t>L’écoute (« rester silencieux »)</w:t>
            </w:r>
          </w:p>
          <w:p w:rsidR="00913167" w:rsidRDefault="00913167" w:rsidP="00913167">
            <w:pPr>
              <w:pStyle w:val="Paragraphedeliste"/>
              <w:numPr>
                <w:ilvl w:val="0"/>
                <w:numId w:val="5"/>
              </w:numPr>
              <w:jc w:val="both"/>
            </w:pPr>
            <w:r>
              <w:t>L’accueil de la parole de l’autre (« ne pas faire de commentaires »)</w:t>
            </w:r>
          </w:p>
          <w:p w:rsidR="00913167" w:rsidRDefault="00913167" w:rsidP="00913167">
            <w:pPr>
              <w:pStyle w:val="Paragraphedeliste"/>
              <w:numPr>
                <w:ilvl w:val="0"/>
                <w:numId w:val="5"/>
              </w:numPr>
              <w:jc w:val="both"/>
            </w:pPr>
            <w:r>
              <w:t>Un effort personnel (« rester calme et respectueux »)</w:t>
            </w:r>
            <w:r w:rsidR="005C0747">
              <w:t>.</w:t>
            </w:r>
          </w:p>
          <w:p w:rsidR="00913167" w:rsidRDefault="00913167" w:rsidP="00913167">
            <w:pPr>
              <w:jc w:val="both"/>
            </w:pPr>
          </w:p>
          <w:p w:rsidR="00EF18AB" w:rsidRDefault="00C515F8" w:rsidP="00E32325">
            <w:pPr>
              <w:jc w:val="both"/>
            </w:pPr>
            <w:r>
              <w:t>L’animateur demande aux élèves :</w:t>
            </w:r>
          </w:p>
          <w:p w:rsidR="00515ACA" w:rsidRDefault="00515ACA" w:rsidP="00515ACA">
            <w:pPr>
              <w:pStyle w:val="Paragraphedeliste"/>
              <w:numPr>
                <w:ilvl w:val="0"/>
                <w:numId w:val="5"/>
              </w:numPr>
              <w:jc w:val="both"/>
            </w:pPr>
            <w:r>
              <w:t>Est-ce que j’ai aimé donner mon avis ?</w:t>
            </w:r>
          </w:p>
          <w:p w:rsidR="00515ACA" w:rsidRDefault="00515ACA" w:rsidP="00515ACA">
            <w:pPr>
              <w:pStyle w:val="Paragraphedeliste"/>
              <w:numPr>
                <w:ilvl w:val="0"/>
                <w:numId w:val="5"/>
              </w:numPr>
              <w:jc w:val="both"/>
            </w:pPr>
            <w:r>
              <w:t>Est-ce que j’ai découvert quelque chose des autres ?</w:t>
            </w:r>
          </w:p>
          <w:p w:rsidR="00515ACA" w:rsidRDefault="00515ACA" w:rsidP="00515ACA">
            <w:pPr>
              <w:jc w:val="both"/>
            </w:pPr>
            <w:r>
              <w:t>et écrit les réponses au fur et à mesure sur un tableau.</w:t>
            </w:r>
          </w:p>
          <w:p w:rsidR="00FD03AA" w:rsidRDefault="00FD03AA" w:rsidP="00515ACA">
            <w:pPr>
              <w:jc w:val="both"/>
            </w:pPr>
          </w:p>
          <w:p w:rsidR="00FD03AA" w:rsidRPr="00C63857" w:rsidRDefault="00FD03AA" w:rsidP="00FD03AA">
            <w:pPr>
              <w:jc w:val="both"/>
              <w:rPr>
                <w:i/>
                <w:sz w:val="20"/>
              </w:rPr>
            </w:pPr>
            <w:r w:rsidRPr="00C63857">
              <w:rPr>
                <w:i/>
                <w:sz w:val="20"/>
              </w:rPr>
              <w:t>Données pour aider l’animateur à alimenter la discussion entre enfants :</w:t>
            </w:r>
          </w:p>
          <w:p w:rsidR="00FD03AA" w:rsidRPr="00C63857" w:rsidRDefault="00FD03AA" w:rsidP="00FD03AA">
            <w:pPr>
              <w:jc w:val="both"/>
              <w:rPr>
                <w:i/>
                <w:sz w:val="20"/>
              </w:rPr>
            </w:pPr>
            <w:r w:rsidRPr="00C63857">
              <w:rPr>
                <w:i/>
                <w:sz w:val="20"/>
              </w:rPr>
              <w:t>- Il est important de noter que chacun a son avis : comme nous vivons des choses différentes à la maison ou que nos parents, nos familles, nos centres d’intérêts sont différents, nous n’avons pas la même vision des choses.</w:t>
            </w:r>
          </w:p>
          <w:p w:rsidR="00FD03AA" w:rsidRPr="00C63857" w:rsidRDefault="00FD03AA" w:rsidP="00FD03AA">
            <w:pPr>
              <w:jc w:val="both"/>
              <w:rPr>
                <w:i/>
                <w:sz w:val="20"/>
              </w:rPr>
            </w:pPr>
            <w:r w:rsidRPr="00C63857">
              <w:rPr>
                <w:i/>
                <w:sz w:val="20"/>
              </w:rPr>
              <w:t xml:space="preserve">- Plusieurs étapes sont intéressantes dans ce que nous avons découvert aujourd’hui : </w:t>
            </w:r>
          </w:p>
          <w:p w:rsidR="00FD03AA" w:rsidRPr="00C63857" w:rsidRDefault="00FD03AA" w:rsidP="00FD03AA">
            <w:pPr>
              <w:pStyle w:val="Paragraphedeliste"/>
              <w:numPr>
                <w:ilvl w:val="0"/>
                <w:numId w:val="5"/>
              </w:numPr>
              <w:jc w:val="both"/>
              <w:rPr>
                <w:i/>
                <w:sz w:val="20"/>
              </w:rPr>
            </w:pPr>
            <w:r w:rsidRPr="00C63857">
              <w:rPr>
                <w:i/>
                <w:sz w:val="20"/>
              </w:rPr>
              <w:t>Se rendre compte que j’ai un avis.</w:t>
            </w:r>
          </w:p>
          <w:p w:rsidR="00FD03AA" w:rsidRPr="00C63857" w:rsidRDefault="00FD03AA" w:rsidP="00FD03AA">
            <w:pPr>
              <w:pStyle w:val="Paragraphedeliste"/>
              <w:numPr>
                <w:ilvl w:val="0"/>
                <w:numId w:val="5"/>
              </w:numPr>
              <w:jc w:val="both"/>
              <w:rPr>
                <w:i/>
                <w:sz w:val="20"/>
              </w:rPr>
            </w:pPr>
            <w:r w:rsidRPr="00C63857">
              <w:rPr>
                <w:i/>
                <w:sz w:val="20"/>
              </w:rPr>
              <w:t>Se rendre compte que ce que je pense est parfois différent de ce que pensent mes camarades.</w:t>
            </w:r>
          </w:p>
          <w:p w:rsidR="00FD03AA" w:rsidRPr="00C63857" w:rsidRDefault="00FD03AA" w:rsidP="00FD03AA">
            <w:pPr>
              <w:pStyle w:val="Paragraphedeliste"/>
              <w:numPr>
                <w:ilvl w:val="0"/>
                <w:numId w:val="5"/>
              </w:numPr>
              <w:jc w:val="both"/>
              <w:rPr>
                <w:i/>
                <w:sz w:val="20"/>
              </w:rPr>
            </w:pPr>
            <w:r w:rsidRPr="00C63857">
              <w:rPr>
                <w:i/>
                <w:sz w:val="20"/>
              </w:rPr>
              <w:t>Se rendre compte que, parfois, je peux changer d’avis en écoutant les arguments des autres.</w:t>
            </w:r>
          </w:p>
          <w:p w:rsidR="00FD03AA" w:rsidRPr="00C63857" w:rsidRDefault="00FD03AA" w:rsidP="00FD03AA">
            <w:pPr>
              <w:pStyle w:val="Paragraphedeliste"/>
              <w:numPr>
                <w:ilvl w:val="0"/>
                <w:numId w:val="5"/>
              </w:numPr>
              <w:jc w:val="both"/>
              <w:rPr>
                <w:i/>
                <w:sz w:val="20"/>
              </w:rPr>
            </w:pPr>
            <w:r w:rsidRPr="00C63857">
              <w:rPr>
                <w:i/>
                <w:sz w:val="20"/>
              </w:rPr>
              <w:t>Se rendre compte qu’en m’écoutant les autres peuvent changer d’avis.</w:t>
            </w:r>
          </w:p>
          <w:p w:rsidR="00FD03AA" w:rsidRPr="00C63857" w:rsidRDefault="00FD03AA" w:rsidP="00FD03AA">
            <w:pPr>
              <w:jc w:val="both"/>
              <w:rPr>
                <w:i/>
                <w:sz w:val="20"/>
              </w:rPr>
            </w:pPr>
            <w:r w:rsidRPr="00C63857">
              <w:rPr>
                <w:i/>
                <w:sz w:val="20"/>
              </w:rPr>
              <w:t>Conclusion possible :</w:t>
            </w:r>
          </w:p>
          <w:p w:rsidR="00FD03AA" w:rsidRPr="00C63857" w:rsidRDefault="00FD03AA" w:rsidP="00FD03AA">
            <w:pPr>
              <w:jc w:val="both"/>
              <w:rPr>
                <w:i/>
                <w:sz w:val="20"/>
              </w:rPr>
            </w:pPr>
            <w:r w:rsidRPr="00C63857">
              <w:rPr>
                <w:i/>
                <w:sz w:val="20"/>
              </w:rPr>
              <w:t xml:space="preserve">Ces différents points de vue nous enrichissent, nous pouvons avoir des avis différents sans pour autant nous disputer. Il n’est pas toujours facile d’écouter jusqu’au bout ou de rester calme et silencieux quand quelqu’un n’est pas d’accord avec nous. </w:t>
            </w:r>
          </w:p>
          <w:p w:rsidR="00330350" w:rsidRDefault="00FD03AA" w:rsidP="00C63857">
            <w:pPr>
              <w:jc w:val="both"/>
            </w:pPr>
            <w:r w:rsidRPr="00C63857">
              <w:rPr>
                <w:i/>
                <w:sz w:val="20"/>
              </w:rPr>
              <w:t>Nos relations avec nos amis passent par ces étapes et par ce constat</w:t>
            </w:r>
            <w:r w:rsidR="00C63857">
              <w:rPr>
                <w:i/>
                <w:sz w:val="20"/>
              </w:rPr>
              <w:t>.</w:t>
            </w:r>
          </w:p>
        </w:tc>
        <w:tc>
          <w:tcPr>
            <w:tcW w:w="1851" w:type="dxa"/>
          </w:tcPr>
          <w:p w:rsidR="00330350" w:rsidRDefault="00330350" w:rsidP="00BA7CB3">
            <w:pPr>
              <w:jc w:val="both"/>
            </w:pPr>
          </w:p>
        </w:tc>
      </w:tr>
      <w:tr w:rsidR="00C515F8" w:rsidRPr="00EA3345" w:rsidTr="00C63857">
        <w:trPr>
          <w:trHeight w:val="1930"/>
        </w:trPr>
        <w:tc>
          <w:tcPr>
            <w:tcW w:w="2093" w:type="dxa"/>
          </w:tcPr>
          <w:p w:rsidR="00C515F8" w:rsidRPr="00EA3345" w:rsidRDefault="00C515F8" w:rsidP="00161B01">
            <w:pPr>
              <w:jc w:val="both"/>
              <w:rPr>
                <w:b/>
              </w:rPr>
            </w:pPr>
            <w:r w:rsidRPr="00EA3345">
              <w:rPr>
                <w:b/>
              </w:rPr>
              <w:t>On remplit la feuille de route</w:t>
            </w:r>
          </w:p>
          <w:p w:rsidR="00C515F8" w:rsidRPr="00EA3345" w:rsidRDefault="00496809" w:rsidP="00161B01">
            <w:pPr>
              <w:jc w:val="both"/>
              <w:rPr>
                <w:b/>
              </w:rPr>
            </w:pPr>
            <w:r w:rsidRPr="00EA3345">
              <w:rPr>
                <w:b/>
              </w:rPr>
              <w:t>2 mns</w:t>
            </w:r>
          </w:p>
        </w:tc>
        <w:tc>
          <w:tcPr>
            <w:tcW w:w="6662" w:type="dxa"/>
          </w:tcPr>
          <w:p w:rsidR="00C515F8" w:rsidRDefault="00EA3345" w:rsidP="00161B01">
            <w:pPr>
              <w:jc w:val="both"/>
            </w:pPr>
            <w:r>
              <w:t>Coller</w:t>
            </w:r>
            <w:r w:rsidR="00C515F8" w:rsidRPr="00EA3345">
              <w:t xml:space="preserve"> l’image de l’oreille qui écoute et deux mains de couleurs différentes qui </w:t>
            </w:r>
            <w:r w:rsidR="005B2C7E" w:rsidRPr="00EA3345">
              <w:t>se serrent.</w:t>
            </w:r>
          </w:p>
          <w:p w:rsidR="00EA3345" w:rsidRPr="00EA3345" w:rsidRDefault="00EA3345" w:rsidP="00161B01">
            <w:pPr>
              <w:jc w:val="both"/>
            </w:pPr>
            <w:r>
              <w:t>Ecrire la phrase extraite du couplet 4 : « Tu nous accueilles différents ... nous sommes tous frères et sœurs ».</w:t>
            </w:r>
          </w:p>
          <w:p w:rsidR="00C515F8" w:rsidRPr="00EA3345" w:rsidRDefault="006F5ABE" w:rsidP="006F5ABE">
            <w:pPr>
              <w:jc w:val="both"/>
            </w:pPr>
            <w:r>
              <w:t>Inviter les enfants, à dire la phrase tous ensemble, en la gestuant : faire un</w:t>
            </w:r>
            <w:r w:rsidR="00C515F8" w:rsidRPr="00EA3345">
              <w:t xml:space="preserve"> geste avec l</w:t>
            </w:r>
            <w:r w:rsidR="005B2C7E" w:rsidRPr="00EA3345">
              <w:t>a main sur l’oreille</w:t>
            </w:r>
            <w:r>
              <w:t xml:space="preserve"> (accueil de la différence)</w:t>
            </w:r>
            <w:r w:rsidR="005B2C7E" w:rsidRPr="00EA3345">
              <w:t xml:space="preserve"> et </w:t>
            </w:r>
            <w:r w:rsidR="00C515F8" w:rsidRPr="00EA3345">
              <w:t xml:space="preserve">les mains qui se </w:t>
            </w:r>
            <w:r w:rsidR="005B2C7E" w:rsidRPr="00EA3345">
              <w:t>serrent</w:t>
            </w:r>
            <w:r>
              <w:t xml:space="preserve"> (nous sommes frère et sœurs)</w:t>
            </w:r>
            <w:r w:rsidR="00C515F8" w:rsidRPr="00EA3345">
              <w:t>.</w:t>
            </w:r>
          </w:p>
        </w:tc>
        <w:tc>
          <w:tcPr>
            <w:tcW w:w="1851" w:type="dxa"/>
          </w:tcPr>
          <w:p w:rsidR="00C515F8" w:rsidRPr="00EA3345" w:rsidRDefault="00C515F8" w:rsidP="00161B01">
            <w:pPr>
              <w:jc w:val="both"/>
            </w:pPr>
          </w:p>
        </w:tc>
      </w:tr>
      <w:tr w:rsidR="00C515F8" w:rsidTr="00161B01">
        <w:tc>
          <w:tcPr>
            <w:tcW w:w="2093" w:type="dxa"/>
          </w:tcPr>
          <w:p w:rsidR="00C515F8" w:rsidRPr="00EA3345" w:rsidRDefault="00C515F8" w:rsidP="00161B01">
            <w:pPr>
              <w:jc w:val="both"/>
              <w:rPr>
                <w:b/>
              </w:rPr>
            </w:pPr>
          </w:p>
        </w:tc>
        <w:tc>
          <w:tcPr>
            <w:tcW w:w="6662" w:type="dxa"/>
          </w:tcPr>
          <w:p w:rsidR="00C515F8" w:rsidRPr="00EA3345" w:rsidRDefault="00C515F8" w:rsidP="00161B01">
            <w:pPr>
              <w:jc w:val="both"/>
            </w:pPr>
            <w:r w:rsidRPr="00EA3345">
              <w:t xml:space="preserve">Reprise du chant </w:t>
            </w:r>
            <w:r w:rsidR="005B2C7E" w:rsidRPr="00EA3345">
              <w:t xml:space="preserve">avec le couplet 4 </w:t>
            </w:r>
            <w:r w:rsidRPr="00EA3345">
              <w:t>pour terminer.</w:t>
            </w:r>
          </w:p>
        </w:tc>
        <w:tc>
          <w:tcPr>
            <w:tcW w:w="1851" w:type="dxa"/>
          </w:tcPr>
          <w:p w:rsidR="00C515F8" w:rsidRDefault="00C515F8" w:rsidP="00161B01">
            <w:pPr>
              <w:jc w:val="both"/>
            </w:pPr>
          </w:p>
        </w:tc>
      </w:tr>
    </w:tbl>
    <w:p w:rsidR="006174E6" w:rsidRDefault="006174E6" w:rsidP="000D3711">
      <w:pPr>
        <w:jc w:val="both"/>
      </w:pPr>
    </w:p>
    <w:sectPr w:rsidR="006174E6" w:rsidSect="00C63857">
      <w:type w:val="continuous"/>
      <w:pgSz w:w="11906" w:h="16838"/>
      <w:pgMar w:top="1843" w:right="720" w:bottom="426"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52" w:rsidRDefault="00581752" w:rsidP="00B05BC5">
      <w:pPr>
        <w:spacing w:after="0" w:line="240" w:lineRule="auto"/>
      </w:pPr>
      <w:r>
        <w:separator/>
      </w:r>
    </w:p>
  </w:endnote>
  <w:endnote w:type="continuationSeparator" w:id="0">
    <w:p w:rsidR="00581752" w:rsidRDefault="00581752" w:rsidP="00B05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016"/>
      <w:docPartObj>
        <w:docPartGallery w:val="Page Numbers (Bottom of Page)"/>
        <w:docPartUnique/>
      </w:docPartObj>
    </w:sdtPr>
    <w:sdtContent>
      <w:p w:rsidR="004D2850" w:rsidRDefault="00B336DD">
        <w:pPr>
          <w:pStyle w:val="Pieddepage"/>
          <w:jc w:val="center"/>
        </w:pPr>
        <w:fldSimple w:instr=" PAGE   \* MERGEFORMAT ">
          <w:r w:rsidR="00315003">
            <w:rPr>
              <w:noProof/>
            </w:rPr>
            <w:t>2</w:t>
          </w:r>
        </w:fldSimple>
      </w:p>
    </w:sdtContent>
  </w:sdt>
  <w:p w:rsidR="004D2850" w:rsidRDefault="004D28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52" w:rsidRDefault="00581752" w:rsidP="00B05BC5">
      <w:pPr>
        <w:spacing w:after="0" w:line="240" w:lineRule="auto"/>
      </w:pPr>
      <w:r>
        <w:separator/>
      </w:r>
    </w:p>
  </w:footnote>
  <w:footnote w:type="continuationSeparator" w:id="0">
    <w:p w:rsidR="00581752" w:rsidRDefault="00581752" w:rsidP="00B05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11" w:rsidRDefault="00422011" w:rsidP="00422011">
    <w:pPr>
      <w:pBdr>
        <w:top w:val="single" w:sz="1" w:space="0" w:color="000000"/>
        <w:left w:val="single" w:sz="1" w:space="1" w:color="000000"/>
        <w:bottom w:val="single" w:sz="1" w:space="1" w:color="000000"/>
        <w:right w:val="single" w:sz="1" w:space="1" w:color="000000"/>
      </w:pBdr>
      <w:spacing w:after="0" w:line="240" w:lineRule="auto"/>
      <w:jc w:val="both"/>
      <w:rPr>
        <w:rFonts w:ascii="Century Gothic" w:hAnsi="Century Gothic" w:cs="Century Gothic"/>
        <w:b/>
        <w:bCs/>
      </w:rPr>
    </w:pPr>
    <w:r>
      <w:rPr>
        <w:rFonts w:ascii="Century Gothic" w:hAnsi="Century Gothic" w:cs="Century Gothic"/>
        <w:b/>
        <w:bCs/>
        <w:noProof/>
        <w:lang w:eastAsia="fr-FR"/>
      </w:rPr>
      <w:drawing>
        <wp:anchor distT="0" distB="0" distL="114300" distR="114300" simplePos="0" relativeHeight="251659264" behindDoc="0" locked="0" layoutInCell="1" allowOverlap="1">
          <wp:simplePos x="0" y="0"/>
          <wp:positionH relativeFrom="column">
            <wp:posOffset>5877732</wp:posOffset>
          </wp:positionH>
          <wp:positionV relativeFrom="paragraph">
            <wp:posOffset>-320722</wp:posOffset>
          </wp:positionV>
          <wp:extent cx="861230" cy="1030406"/>
          <wp:effectExtent l="19050" t="0" r="0" b="0"/>
          <wp:wrapNone/>
          <wp:docPr id="2" name="Image 1" descr="C:\Users\moi\Documents\PASTORALE tutellle RA\Tutelle RA CRPA Pasto\DOCS PASTO Tutelle\Arbre-logo_CRP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cuments\PASTORALE tutellle RA\Tutelle RA CRPA Pasto\DOCS PASTO Tutelle\Arbre-logo_CRPA_final.jpg"/>
                  <pic:cNvPicPr>
                    <a:picLocks noChangeAspect="1" noChangeArrowheads="1"/>
                  </pic:cNvPicPr>
                </pic:nvPicPr>
                <pic:blipFill>
                  <a:blip r:embed="rId1" cstate="print"/>
                  <a:srcRect/>
                  <a:stretch>
                    <a:fillRect/>
                  </a:stretch>
                </pic:blipFill>
                <pic:spPr bwMode="auto">
                  <a:xfrm>
                    <a:off x="0" y="0"/>
                    <a:ext cx="861230" cy="1030406"/>
                  </a:xfrm>
                  <a:prstGeom prst="rect">
                    <a:avLst/>
                  </a:prstGeom>
                  <a:noFill/>
                  <a:ln w="9525">
                    <a:noFill/>
                    <a:miter lim="800000"/>
                    <a:headEnd/>
                    <a:tailEnd/>
                  </a:ln>
                </pic:spPr>
              </pic:pic>
            </a:graphicData>
          </a:graphic>
        </wp:anchor>
      </w:drawing>
    </w:r>
    <w:r>
      <w:rPr>
        <w:rFonts w:ascii="Century Gothic" w:hAnsi="Century Gothic" w:cs="Century Gothic"/>
        <w:b/>
        <w:bCs/>
      </w:rPr>
      <w:t xml:space="preserve">CRPA Pasto </w:t>
    </w:r>
    <w:r w:rsidR="00315003">
      <w:rPr>
        <w:rFonts w:ascii="Century Gothic" w:hAnsi="Century Gothic" w:cs="Century Gothic"/>
        <w:b/>
        <w:bCs/>
      </w:rPr>
      <w:t>Février 2019</w:t>
    </w:r>
  </w:p>
  <w:p w:rsidR="00422011" w:rsidRPr="00DB7014" w:rsidRDefault="00422011" w:rsidP="00422011">
    <w:pPr>
      <w:pBdr>
        <w:top w:val="single" w:sz="1" w:space="0" w:color="000000"/>
        <w:left w:val="single" w:sz="1" w:space="1" w:color="000000"/>
        <w:bottom w:val="single" w:sz="1" w:space="1" w:color="000000"/>
        <w:right w:val="single" w:sz="1" w:space="1" w:color="000000"/>
      </w:pBdr>
      <w:spacing w:after="0" w:line="240" w:lineRule="auto"/>
      <w:jc w:val="both"/>
      <w:rPr>
        <w:rFonts w:ascii="Century Gothic" w:hAnsi="Century Gothic" w:cs="Century Gothic"/>
        <w:b/>
        <w:bCs/>
      </w:rPr>
    </w:pPr>
    <w:r>
      <w:rPr>
        <w:rFonts w:ascii="Century Gothic" w:hAnsi="Century Gothic" w:cs="Century Gothic"/>
        <w:b/>
        <w:bCs/>
      </w:rPr>
      <w:t>Concept « Relations en vérité »</w:t>
    </w:r>
  </w:p>
  <w:p w:rsidR="00422011" w:rsidRDefault="0042201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29E"/>
    <w:multiLevelType w:val="hybridMultilevel"/>
    <w:tmpl w:val="F530B342"/>
    <w:lvl w:ilvl="0" w:tplc="08BA1C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791248"/>
    <w:multiLevelType w:val="hybridMultilevel"/>
    <w:tmpl w:val="FE849870"/>
    <w:lvl w:ilvl="0" w:tplc="B392656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F97FA2"/>
    <w:multiLevelType w:val="hybridMultilevel"/>
    <w:tmpl w:val="7A5ED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3F5682"/>
    <w:multiLevelType w:val="hybridMultilevel"/>
    <w:tmpl w:val="6DBC5628"/>
    <w:lvl w:ilvl="0" w:tplc="B392656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073E1B"/>
    <w:multiLevelType w:val="hybridMultilevel"/>
    <w:tmpl w:val="ACD63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4BB8"/>
    <w:rsid w:val="00010E2F"/>
    <w:rsid w:val="00011B65"/>
    <w:rsid w:val="00031A6D"/>
    <w:rsid w:val="00073B92"/>
    <w:rsid w:val="000C70A2"/>
    <w:rsid w:val="000D1ED2"/>
    <w:rsid w:val="000D3711"/>
    <w:rsid w:val="000D6F46"/>
    <w:rsid w:val="000F5FCB"/>
    <w:rsid w:val="00106B94"/>
    <w:rsid w:val="00106DBD"/>
    <w:rsid w:val="00110A74"/>
    <w:rsid w:val="00137C2F"/>
    <w:rsid w:val="001539D7"/>
    <w:rsid w:val="00165840"/>
    <w:rsid w:val="001A279F"/>
    <w:rsid w:val="001D380E"/>
    <w:rsid w:val="001D5CFB"/>
    <w:rsid w:val="001E7E4D"/>
    <w:rsid w:val="001F0948"/>
    <w:rsid w:val="00244903"/>
    <w:rsid w:val="00250B2F"/>
    <w:rsid w:val="00272AE0"/>
    <w:rsid w:val="00285B5C"/>
    <w:rsid w:val="002B453E"/>
    <w:rsid w:val="002E68C4"/>
    <w:rsid w:val="002F0BC7"/>
    <w:rsid w:val="002F16CC"/>
    <w:rsid w:val="00315003"/>
    <w:rsid w:val="00325497"/>
    <w:rsid w:val="00330350"/>
    <w:rsid w:val="00342BF2"/>
    <w:rsid w:val="0035087E"/>
    <w:rsid w:val="0038020B"/>
    <w:rsid w:val="00381A6C"/>
    <w:rsid w:val="00385D88"/>
    <w:rsid w:val="00403203"/>
    <w:rsid w:val="00417D5A"/>
    <w:rsid w:val="00422011"/>
    <w:rsid w:val="00422846"/>
    <w:rsid w:val="0043133E"/>
    <w:rsid w:val="00461E01"/>
    <w:rsid w:val="004723A5"/>
    <w:rsid w:val="00487E01"/>
    <w:rsid w:val="00496809"/>
    <w:rsid w:val="004A72DC"/>
    <w:rsid w:val="004B2949"/>
    <w:rsid w:val="004D2850"/>
    <w:rsid w:val="004E35D2"/>
    <w:rsid w:val="00504C10"/>
    <w:rsid w:val="00515ACA"/>
    <w:rsid w:val="00545F62"/>
    <w:rsid w:val="005655EA"/>
    <w:rsid w:val="00581752"/>
    <w:rsid w:val="005B2C7E"/>
    <w:rsid w:val="005C0747"/>
    <w:rsid w:val="006073D8"/>
    <w:rsid w:val="006174E6"/>
    <w:rsid w:val="006459DB"/>
    <w:rsid w:val="006B2050"/>
    <w:rsid w:val="006B7B1A"/>
    <w:rsid w:val="006E6E79"/>
    <w:rsid w:val="006F5ABE"/>
    <w:rsid w:val="007023AD"/>
    <w:rsid w:val="00706B00"/>
    <w:rsid w:val="0072124D"/>
    <w:rsid w:val="00751D7E"/>
    <w:rsid w:val="0076254B"/>
    <w:rsid w:val="00774255"/>
    <w:rsid w:val="007856AC"/>
    <w:rsid w:val="00794BB8"/>
    <w:rsid w:val="007A6DCE"/>
    <w:rsid w:val="007B2ADB"/>
    <w:rsid w:val="0080416A"/>
    <w:rsid w:val="008320C4"/>
    <w:rsid w:val="00891926"/>
    <w:rsid w:val="008A5F93"/>
    <w:rsid w:val="008E2ED0"/>
    <w:rsid w:val="008F392A"/>
    <w:rsid w:val="00913167"/>
    <w:rsid w:val="00951301"/>
    <w:rsid w:val="00952551"/>
    <w:rsid w:val="0095764C"/>
    <w:rsid w:val="00992CFD"/>
    <w:rsid w:val="009C1F9D"/>
    <w:rsid w:val="009C579D"/>
    <w:rsid w:val="009F6747"/>
    <w:rsid w:val="00A009F0"/>
    <w:rsid w:val="00A20336"/>
    <w:rsid w:val="00A32F16"/>
    <w:rsid w:val="00A77565"/>
    <w:rsid w:val="00A77E39"/>
    <w:rsid w:val="00A87299"/>
    <w:rsid w:val="00AA05BB"/>
    <w:rsid w:val="00AB16FF"/>
    <w:rsid w:val="00AB7635"/>
    <w:rsid w:val="00AD39CC"/>
    <w:rsid w:val="00AD636A"/>
    <w:rsid w:val="00AF353F"/>
    <w:rsid w:val="00B05BC5"/>
    <w:rsid w:val="00B336DD"/>
    <w:rsid w:val="00B76781"/>
    <w:rsid w:val="00B85E0E"/>
    <w:rsid w:val="00BA16DC"/>
    <w:rsid w:val="00BA7CB3"/>
    <w:rsid w:val="00BB5BEF"/>
    <w:rsid w:val="00BD7634"/>
    <w:rsid w:val="00BE18B2"/>
    <w:rsid w:val="00BE539C"/>
    <w:rsid w:val="00BF121E"/>
    <w:rsid w:val="00BF32C0"/>
    <w:rsid w:val="00C22D25"/>
    <w:rsid w:val="00C3734E"/>
    <w:rsid w:val="00C515F8"/>
    <w:rsid w:val="00C63857"/>
    <w:rsid w:val="00C82B29"/>
    <w:rsid w:val="00C93AB6"/>
    <w:rsid w:val="00CA5B38"/>
    <w:rsid w:val="00CB1CDE"/>
    <w:rsid w:val="00CF37EE"/>
    <w:rsid w:val="00D12143"/>
    <w:rsid w:val="00D23BD1"/>
    <w:rsid w:val="00D34C9F"/>
    <w:rsid w:val="00D4004D"/>
    <w:rsid w:val="00D65438"/>
    <w:rsid w:val="00D71E58"/>
    <w:rsid w:val="00D810A4"/>
    <w:rsid w:val="00DD6A24"/>
    <w:rsid w:val="00E03079"/>
    <w:rsid w:val="00E32325"/>
    <w:rsid w:val="00E91C3F"/>
    <w:rsid w:val="00EA0439"/>
    <w:rsid w:val="00EA3345"/>
    <w:rsid w:val="00EB7925"/>
    <w:rsid w:val="00EF18AB"/>
    <w:rsid w:val="00F108F8"/>
    <w:rsid w:val="00F15498"/>
    <w:rsid w:val="00F210E7"/>
    <w:rsid w:val="00F346B9"/>
    <w:rsid w:val="00F91764"/>
    <w:rsid w:val="00F95E6A"/>
    <w:rsid w:val="00F95F07"/>
    <w:rsid w:val="00FB7F15"/>
    <w:rsid w:val="00FD03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497"/>
    <w:pPr>
      <w:ind w:left="720"/>
      <w:contextualSpacing/>
    </w:pPr>
  </w:style>
  <w:style w:type="table" w:styleId="Grilledutableau">
    <w:name w:val="Table Grid"/>
    <w:basedOn w:val="TableauNormal"/>
    <w:uiPriority w:val="59"/>
    <w:rsid w:val="00952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174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4E6"/>
    <w:rPr>
      <w:rFonts w:ascii="Tahoma" w:hAnsi="Tahoma" w:cs="Tahoma"/>
      <w:sz w:val="16"/>
      <w:szCs w:val="16"/>
    </w:rPr>
  </w:style>
  <w:style w:type="paragraph" w:styleId="En-tte">
    <w:name w:val="header"/>
    <w:basedOn w:val="Normal"/>
    <w:link w:val="En-tteCar"/>
    <w:uiPriority w:val="99"/>
    <w:unhideWhenUsed/>
    <w:rsid w:val="00B05BC5"/>
    <w:pPr>
      <w:tabs>
        <w:tab w:val="center" w:pos="4536"/>
        <w:tab w:val="right" w:pos="9072"/>
      </w:tabs>
      <w:spacing w:after="0" w:line="240" w:lineRule="auto"/>
    </w:pPr>
  </w:style>
  <w:style w:type="character" w:customStyle="1" w:styleId="En-tteCar">
    <w:name w:val="En-tête Car"/>
    <w:basedOn w:val="Policepardfaut"/>
    <w:link w:val="En-tte"/>
    <w:uiPriority w:val="99"/>
    <w:rsid w:val="00B05BC5"/>
  </w:style>
  <w:style w:type="paragraph" w:styleId="Pieddepage">
    <w:name w:val="footer"/>
    <w:basedOn w:val="Normal"/>
    <w:link w:val="PieddepageCar"/>
    <w:uiPriority w:val="99"/>
    <w:unhideWhenUsed/>
    <w:rsid w:val="00B05B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BC5"/>
  </w:style>
  <w:style w:type="character" w:styleId="Lienhypertexte">
    <w:name w:val="Hyperlink"/>
    <w:basedOn w:val="Policepardfaut"/>
    <w:uiPriority w:val="99"/>
    <w:unhideWhenUsed/>
    <w:rsid w:val="00D121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86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794</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garcia-e</dc:creator>
  <cp:lastModifiedBy>assomption-france</cp:lastModifiedBy>
  <cp:revision>26</cp:revision>
  <dcterms:created xsi:type="dcterms:W3CDTF">2018-10-01T10:10:00Z</dcterms:created>
  <dcterms:modified xsi:type="dcterms:W3CDTF">2019-02-06T17:33:00Z</dcterms:modified>
</cp:coreProperties>
</file>